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rPr>
          <w:rFonts w:hint="eastAsia" w:ascii="宋体" w:hAnsi="宋体" w:cs="宋体"/>
          <w:b/>
          <w:kern w:val="0"/>
          <w:sz w:val="72"/>
          <w:szCs w:val="72"/>
        </w:rPr>
      </w:pPr>
      <w:r>
        <w:rPr>
          <w:rFonts w:hint="eastAsia" w:ascii="宋体" w:hAnsi="宋体" w:cs="宋体"/>
          <w:b/>
          <w:kern w:val="0"/>
          <w:sz w:val="72"/>
          <w:szCs w:val="72"/>
        </w:rPr>
        <w:t>衢州金宸美筑</w:t>
      </w:r>
    </w:p>
    <w:p>
      <w:pPr>
        <w:widowControl/>
        <w:jc w:val="center"/>
        <w:rPr>
          <w:rFonts w:ascii="宋体" w:hAnsi="宋体"/>
          <w:b/>
          <w:sz w:val="52"/>
          <w:szCs w:val="52"/>
        </w:rPr>
      </w:pPr>
      <w:r>
        <w:rPr>
          <w:rFonts w:ascii="宋体" w:hAnsi="宋体" w:cs="宋体"/>
          <w:b/>
          <w:kern w:val="0"/>
          <w:sz w:val="72"/>
          <w:szCs w:val="72"/>
        </w:rPr>
        <w:t>2</w:t>
      </w:r>
      <w:r>
        <w:rPr>
          <w:rFonts w:hint="eastAsia" w:ascii="宋体" w:hAnsi="宋体" w:cs="宋体"/>
          <w:b/>
          <w:kern w:val="0"/>
          <w:sz w:val="72"/>
          <w:szCs w:val="72"/>
        </w:rPr>
        <w:t>#、5#、13#楼</w:t>
      </w:r>
    </w:p>
    <w:p>
      <w:pPr>
        <w:widowControl/>
        <w:jc w:val="center"/>
        <w:rPr>
          <w:rFonts w:ascii="宋体" w:hAnsi="宋体" w:cs="宋体"/>
          <w:b/>
          <w:kern w:val="0"/>
          <w:sz w:val="72"/>
          <w:szCs w:val="72"/>
        </w:rPr>
      </w:pPr>
      <w:r>
        <w:rPr>
          <w:rFonts w:hint="eastAsia" w:ascii="宋体" w:hAnsi="宋体" w:cs="宋体"/>
          <w:b/>
          <w:kern w:val="0"/>
          <w:sz w:val="72"/>
          <w:szCs w:val="72"/>
        </w:rPr>
        <w:t>商</w:t>
      </w:r>
    </w:p>
    <w:p>
      <w:pPr>
        <w:widowControl/>
        <w:jc w:val="center"/>
        <w:rPr>
          <w:rFonts w:ascii="宋体" w:hAnsi="宋体" w:cs="宋体"/>
          <w:b/>
          <w:kern w:val="0"/>
          <w:sz w:val="72"/>
          <w:szCs w:val="72"/>
        </w:rPr>
      </w:pPr>
      <w:r>
        <w:rPr>
          <w:rFonts w:hint="eastAsia" w:ascii="宋体" w:hAnsi="宋体" w:cs="宋体"/>
          <w:b/>
          <w:kern w:val="0"/>
          <w:sz w:val="72"/>
          <w:szCs w:val="72"/>
        </w:rPr>
        <w:t>品</w:t>
      </w:r>
    </w:p>
    <w:p>
      <w:pPr>
        <w:widowControl/>
        <w:jc w:val="center"/>
        <w:rPr>
          <w:rFonts w:ascii="宋体" w:hAnsi="宋体" w:cs="宋体"/>
          <w:b/>
          <w:kern w:val="0"/>
          <w:sz w:val="72"/>
          <w:szCs w:val="72"/>
        </w:rPr>
      </w:pPr>
      <w:r>
        <w:rPr>
          <w:rFonts w:hint="eastAsia" w:ascii="宋体" w:hAnsi="宋体" w:cs="宋体"/>
          <w:b/>
          <w:kern w:val="0"/>
          <w:sz w:val="72"/>
          <w:szCs w:val="72"/>
        </w:rPr>
        <w:t>房</w:t>
      </w:r>
    </w:p>
    <w:p>
      <w:pPr>
        <w:widowControl/>
        <w:jc w:val="center"/>
        <w:rPr>
          <w:rFonts w:ascii="宋体" w:hAnsi="宋体" w:cs="宋体"/>
          <w:b/>
          <w:kern w:val="0"/>
          <w:sz w:val="72"/>
          <w:szCs w:val="72"/>
        </w:rPr>
      </w:pPr>
      <w:r>
        <w:rPr>
          <w:rFonts w:hint="eastAsia" w:ascii="宋体" w:hAnsi="宋体" w:cs="宋体"/>
          <w:b/>
          <w:kern w:val="0"/>
          <w:sz w:val="72"/>
          <w:szCs w:val="72"/>
        </w:rPr>
        <w:t>预</w:t>
      </w:r>
    </w:p>
    <w:p>
      <w:pPr>
        <w:widowControl/>
        <w:jc w:val="center"/>
        <w:rPr>
          <w:rFonts w:ascii="宋体" w:hAnsi="宋体" w:cs="宋体"/>
          <w:b/>
          <w:kern w:val="0"/>
          <w:sz w:val="72"/>
          <w:szCs w:val="72"/>
        </w:rPr>
      </w:pPr>
      <w:r>
        <w:rPr>
          <w:rFonts w:hint="eastAsia" w:ascii="宋体" w:hAnsi="宋体" w:cs="宋体"/>
          <w:b/>
          <w:kern w:val="0"/>
          <w:sz w:val="72"/>
          <w:szCs w:val="72"/>
        </w:rPr>
        <w:t>售</w:t>
      </w:r>
    </w:p>
    <w:p>
      <w:pPr>
        <w:widowControl/>
        <w:jc w:val="center"/>
        <w:rPr>
          <w:rFonts w:ascii="宋体" w:hAnsi="宋体" w:cs="宋体"/>
          <w:b/>
          <w:kern w:val="0"/>
          <w:sz w:val="72"/>
          <w:szCs w:val="72"/>
        </w:rPr>
      </w:pPr>
      <w:r>
        <w:rPr>
          <w:rFonts w:hint="eastAsia" w:ascii="宋体" w:hAnsi="宋体" w:cs="宋体"/>
          <w:b/>
          <w:kern w:val="0"/>
          <w:sz w:val="72"/>
          <w:szCs w:val="72"/>
        </w:rPr>
        <w:t>方</w:t>
      </w:r>
    </w:p>
    <w:p>
      <w:pPr>
        <w:widowControl/>
        <w:jc w:val="center"/>
        <w:rPr>
          <w:rFonts w:ascii="宋体" w:hAnsi="宋体" w:cs="宋体"/>
          <w:b/>
          <w:kern w:val="0"/>
          <w:sz w:val="72"/>
          <w:szCs w:val="72"/>
        </w:rPr>
      </w:pPr>
      <w:r>
        <w:rPr>
          <w:rFonts w:hint="eastAsia" w:ascii="宋体" w:hAnsi="宋体" w:cs="宋体"/>
          <w:b/>
          <w:kern w:val="0"/>
          <w:sz w:val="72"/>
          <w:szCs w:val="72"/>
        </w:rPr>
        <w:t>案</w:t>
      </w:r>
    </w:p>
    <w:p>
      <w:pPr>
        <w:widowControl/>
        <w:jc w:val="left"/>
        <w:rPr>
          <w:rFonts w:ascii="宋体" w:hAnsi="宋体" w:cs="宋体"/>
          <w:b/>
          <w:kern w:val="0"/>
          <w:sz w:val="52"/>
          <w:szCs w:val="52"/>
        </w:rPr>
      </w:pPr>
      <w:r>
        <w:rPr>
          <w:rFonts w:hint="eastAsia" w:ascii="宋体" w:hAnsi="宋体" w:cs="宋体"/>
          <w:b/>
          <w:kern w:val="0"/>
          <w:sz w:val="52"/>
          <w:szCs w:val="52"/>
        </w:rPr>
        <w:t xml:space="preserve">   </w:t>
      </w:r>
    </w:p>
    <w:p>
      <w:pPr>
        <w:widowControl/>
        <w:ind w:firstLine="880" w:firstLineChars="200"/>
        <w:jc w:val="both"/>
        <w:rPr>
          <w:rFonts w:ascii="宋体" w:hAnsi="宋体" w:cs="宋体"/>
          <w:b/>
          <w:kern w:val="0"/>
          <w:sz w:val="44"/>
          <w:szCs w:val="44"/>
        </w:rPr>
      </w:pPr>
      <w:r>
        <w:rPr>
          <w:rFonts w:hint="eastAsia" w:ascii="宋体" w:hAnsi="宋体" w:cs="宋体"/>
          <w:b/>
          <w:kern w:val="0"/>
          <w:sz w:val="44"/>
          <w:szCs w:val="44"/>
        </w:rPr>
        <w:t>衢州市慧城星展房地产开发有限公司</w:t>
      </w:r>
    </w:p>
    <w:p>
      <w:pPr>
        <w:widowControl/>
        <w:jc w:val="center"/>
        <w:rPr>
          <w:rFonts w:hint="eastAsia" w:ascii="宋体" w:hAnsi="宋体" w:cs="宋体"/>
          <w:b/>
          <w:kern w:val="0"/>
          <w:sz w:val="44"/>
          <w:szCs w:val="44"/>
        </w:rPr>
      </w:pPr>
      <w:r>
        <w:rPr>
          <w:rFonts w:hint="eastAsia" w:ascii="宋体" w:hAnsi="宋体" w:cs="宋体"/>
          <w:b/>
          <w:kern w:val="0"/>
          <w:sz w:val="44"/>
          <w:szCs w:val="44"/>
        </w:rPr>
        <w:t>二〇二三年</w:t>
      </w:r>
      <w:r>
        <w:rPr>
          <w:rFonts w:hint="eastAsia" w:ascii="宋体" w:hAnsi="宋体" w:cs="宋体"/>
          <w:b/>
          <w:kern w:val="0"/>
          <w:sz w:val="44"/>
          <w:szCs w:val="44"/>
          <w:lang w:eastAsia="zh-CN"/>
        </w:rPr>
        <w:t>七</w:t>
      </w:r>
      <w:r>
        <w:rPr>
          <w:rFonts w:hint="eastAsia" w:ascii="宋体" w:hAnsi="宋体" w:cs="宋体"/>
          <w:b/>
          <w:kern w:val="0"/>
          <w:sz w:val="44"/>
          <w:szCs w:val="44"/>
        </w:rPr>
        <w:t>月</w:t>
      </w:r>
      <w:r>
        <w:rPr>
          <w:rFonts w:hint="eastAsia" w:ascii="宋体" w:hAnsi="宋体" w:cs="宋体"/>
          <w:b/>
          <w:kern w:val="0"/>
          <w:sz w:val="44"/>
          <w:szCs w:val="44"/>
          <w:lang w:eastAsia="zh-CN"/>
        </w:rPr>
        <w:t>十七</w:t>
      </w:r>
      <w:r>
        <w:rPr>
          <w:rFonts w:hint="eastAsia" w:ascii="宋体" w:hAnsi="宋体" w:cs="宋体"/>
          <w:b/>
          <w:kern w:val="0"/>
          <w:sz w:val="44"/>
          <w:szCs w:val="44"/>
        </w:rPr>
        <w:t>日</w:t>
      </w:r>
    </w:p>
    <w:p>
      <w:pPr>
        <w:jc w:val="center"/>
        <w:rPr>
          <w:rFonts w:ascii="宋体" w:hAnsi="宋体"/>
          <w:sz w:val="44"/>
          <w:szCs w:val="44"/>
        </w:rPr>
      </w:pPr>
      <w:r>
        <w:rPr>
          <w:rFonts w:hint="eastAsia" w:ascii="宋体" w:hAnsi="宋体"/>
          <w:sz w:val="44"/>
          <w:szCs w:val="44"/>
        </w:rPr>
        <w:t>目  录</w:t>
      </w:r>
    </w:p>
    <w:p>
      <w:pPr>
        <w:numPr>
          <w:ilvl w:val="0"/>
          <w:numId w:val="1"/>
        </w:num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项目基本情况</w:t>
      </w:r>
    </w:p>
    <w:p>
      <w:pPr>
        <w:numPr>
          <w:ilvl w:val="0"/>
          <w:numId w:val="1"/>
        </w:num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建设进度安排</w:t>
      </w:r>
    </w:p>
    <w:p>
      <w:pPr>
        <w:numPr>
          <w:ilvl w:val="0"/>
          <w:numId w:val="1"/>
        </w:num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预售房屋套数</w:t>
      </w:r>
    </w:p>
    <w:p>
      <w:pPr>
        <w:numPr>
          <w:ilvl w:val="0"/>
          <w:numId w:val="1"/>
        </w:num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面积预测及分摊情况</w:t>
      </w:r>
    </w:p>
    <w:p>
      <w:pPr>
        <w:numPr>
          <w:ilvl w:val="0"/>
          <w:numId w:val="1"/>
        </w:num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公共部位和公共设施的具体范围</w:t>
      </w:r>
    </w:p>
    <w:p>
      <w:pPr>
        <w:numPr>
          <w:ilvl w:val="0"/>
          <w:numId w:val="1"/>
        </w:num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每套预售价格及变动幅度</w:t>
      </w:r>
    </w:p>
    <w:p>
      <w:pPr>
        <w:numPr>
          <w:ilvl w:val="0"/>
          <w:numId w:val="1"/>
        </w:num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销售计划与销售方式</w:t>
      </w:r>
    </w:p>
    <w:p>
      <w:pPr>
        <w:numPr>
          <w:ilvl w:val="0"/>
          <w:numId w:val="1"/>
        </w:num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预售资金监管落实情况</w:t>
      </w:r>
    </w:p>
    <w:p>
      <w:pPr>
        <w:numPr>
          <w:ilvl w:val="0"/>
          <w:numId w:val="1"/>
        </w:num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住房质量承担主体和承担方式</w:t>
      </w:r>
    </w:p>
    <w:p>
      <w:pPr>
        <w:numPr>
          <w:ilvl w:val="0"/>
          <w:numId w:val="1"/>
        </w:num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住房节能措施</w:t>
      </w:r>
    </w:p>
    <w:p>
      <w:pPr>
        <w:numPr>
          <w:ilvl w:val="0"/>
          <w:numId w:val="1"/>
        </w:num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销售部张贴的资料目录</w:t>
      </w:r>
    </w:p>
    <w:p>
      <w:pPr>
        <w:numPr>
          <w:ilvl w:val="0"/>
          <w:numId w:val="1"/>
        </w:num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售房部的规章制度</w:t>
      </w:r>
    </w:p>
    <w:p>
      <w:pPr>
        <w:numPr>
          <w:ilvl w:val="0"/>
          <w:numId w:val="1"/>
        </w:num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附件一 业主临时管理规约</w:t>
      </w:r>
    </w:p>
    <w:p>
      <w:pPr>
        <w:numPr>
          <w:ilvl w:val="0"/>
          <w:numId w:val="1"/>
        </w:num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附件二 前期物业管理服务协议</w:t>
      </w:r>
    </w:p>
    <w:p>
      <w:pPr>
        <w:numPr>
          <w:ilvl w:val="0"/>
          <w:numId w:val="1"/>
        </w:num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附件三 房屋面积测绘报告</w:t>
      </w:r>
    </w:p>
    <w:p>
      <w:pPr>
        <w:numPr>
          <w:ilvl w:val="0"/>
          <w:numId w:val="1"/>
        </w:num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附件四 商品房预售资金监管协议</w:t>
      </w:r>
    </w:p>
    <w:p>
      <w:pPr>
        <w:spacing w:line="360" w:lineRule="auto"/>
        <w:ind w:left="42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 xml:space="preserve">          项目工程建设投资费用支出表</w:t>
      </w:r>
    </w:p>
    <w:p>
      <w:pPr>
        <w:spacing w:line="360" w:lineRule="auto"/>
        <w:ind w:left="420" w:leftChars="200" w:firstLine="1200" w:firstLineChars="5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项目工程建设投资费用总计划表</w:t>
      </w:r>
    </w:p>
    <w:p>
      <w:pPr>
        <w:numPr>
          <w:ilvl w:val="0"/>
          <w:numId w:val="1"/>
        </w:num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附件五 《商品房质量保证书》、《商品房产品说明书》</w:t>
      </w:r>
    </w:p>
    <w:p>
      <w:pPr>
        <w:numPr>
          <w:ilvl w:val="0"/>
          <w:numId w:val="1"/>
        </w:num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附件六 商品房买卖合同</w:t>
      </w:r>
    </w:p>
    <w:p>
      <w:pPr>
        <w:numPr>
          <w:ilvl w:val="0"/>
          <w:numId w:val="1"/>
        </w:num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附件七 物管用房联系确认单</w:t>
      </w:r>
    </w:p>
    <w:p>
      <w:pPr>
        <w:numPr>
          <w:ilvl w:val="0"/>
          <w:numId w:val="1"/>
        </w:num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附件八 监理公司进度证明</w:t>
      </w:r>
    </w:p>
    <w:p>
      <w:pPr>
        <w:numPr>
          <w:ilvl w:val="0"/>
          <w:numId w:val="1"/>
        </w:num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地名办名称清单</w:t>
      </w:r>
    </w:p>
    <w:p>
      <w:pPr>
        <w:numPr>
          <w:ilvl w:val="0"/>
          <w:numId w:val="1"/>
        </w:num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承诺函（车位价格及不捆绑销售承诺）</w:t>
      </w:r>
    </w:p>
    <w:p>
      <w:pPr>
        <w:numPr>
          <w:ilvl w:val="0"/>
          <w:numId w:val="1"/>
        </w:num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附件九 营业执照（房开及物业公司）、开发资质证书、建设工程规划许可证、土地证、拍地文件、土地出让金交清单据、施工许可证、现场勘察情况表、立项批文、地民办文件</w:t>
      </w:r>
    </w:p>
    <w:p>
      <w:pPr>
        <w:spacing w:line="360" w:lineRule="auto"/>
        <w:rPr>
          <w:rFonts w:hint="eastAsia" w:ascii="宋体" w:hAnsi="宋体"/>
          <w:sz w:val="24"/>
        </w:rPr>
      </w:pPr>
    </w:p>
    <w:p>
      <w:pPr>
        <w:numPr>
          <w:ilvl w:val="0"/>
          <w:numId w:val="2"/>
        </w:numPr>
        <w:spacing w:line="360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项目基本情况</w:t>
      </w:r>
    </w:p>
    <w:p>
      <w:pPr>
        <w:spacing w:line="360" w:lineRule="auto"/>
        <w:ind w:firstLine="600" w:firstLineChars="250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1.项目名称：衢州客厅·金宸美筑</w:t>
      </w:r>
    </w:p>
    <w:p>
      <w:pPr>
        <w:spacing w:line="360" w:lineRule="auto"/>
        <w:ind w:firstLine="600" w:firstLineChars="250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2.项目坐落：衢州市智慧新城钱江大道以南，黄山大道以东，常山路以西、智造路南北两侧。</w:t>
      </w:r>
    </w:p>
    <w:p>
      <w:pPr>
        <w:spacing w:line="360" w:lineRule="auto"/>
        <w:ind w:firstLine="600" w:firstLineChars="250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3.土地用途：城镇住宅用地，城镇村道路用地，商务金融用地，零售商业用地，旅馆用地。</w:t>
      </w:r>
    </w:p>
    <w:p>
      <w:pPr>
        <w:spacing w:line="360" w:lineRule="auto"/>
        <w:ind w:firstLine="600" w:firstLineChars="250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4.项目总规模（概况）</w:t>
      </w:r>
    </w:p>
    <w:p>
      <w:pPr>
        <w:spacing w:line="360" w:lineRule="auto"/>
        <w:ind w:firstLine="600" w:firstLineChars="25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本</w:t>
      </w:r>
      <w:r>
        <w:rPr>
          <w:rFonts w:hint="eastAsia" w:ascii="宋体" w:hAnsi="宋体" w:eastAsia="宋体"/>
          <w:color w:val="000000"/>
          <w:sz w:val="24"/>
        </w:rPr>
        <w:t>项目占地面积为139524㎡，</w:t>
      </w:r>
      <w:r>
        <w:rPr>
          <w:rFonts w:hint="eastAsia" w:ascii="宋体" w:hAnsi="宋体" w:eastAsia="宋体"/>
          <w:sz w:val="24"/>
        </w:rPr>
        <w:t>总建筑面积为356138.75㎡，地上建筑面积252099.13</w:t>
      </w:r>
      <w:r>
        <w:rPr>
          <w:rFonts w:hint="eastAsia" w:ascii="宋体" w:hAnsi="宋体" w:eastAsia="宋体" w:cs="宋体"/>
          <w:color w:val="000000"/>
          <w:sz w:val="24"/>
        </w:rPr>
        <w:t>㎡，</w:t>
      </w:r>
      <w:r>
        <w:rPr>
          <w:rFonts w:hint="eastAsia" w:ascii="宋体" w:hAnsi="宋体" w:eastAsia="宋体" w:cs="宋体"/>
          <w:sz w:val="24"/>
        </w:rPr>
        <w:t>地下总建筑面积约103504.77㎡</w:t>
      </w:r>
      <w:r>
        <w:rPr>
          <w:rFonts w:hint="eastAsia" w:ascii="宋体" w:hAnsi="宋体" w:eastAsia="宋体"/>
          <w:sz w:val="24"/>
        </w:rPr>
        <w:t>。</w:t>
      </w:r>
      <w:r>
        <w:rPr>
          <w:rFonts w:hint="eastAsia" w:ascii="宋体" w:hAnsi="宋体" w:eastAsia="宋体"/>
          <w:sz w:val="24"/>
          <w:lang w:eastAsia="zh-CN"/>
        </w:rPr>
        <w:t>整个项目包括</w:t>
      </w:r>
      <w:r>
        <w:rPr>
          <w:rFonts w:hint="eastAsia" w:ascii="宋体" w:hAnsi="宋体" w:eastAsia="宋体"/>
          <w:sz w:val="24"/>
          <w:lang w:val="en-US" w:eastAsia="zh-CN"/>
        </w:rPr>
        <w:t>4个地块，</w:t>
      </w:r>
      <w:r>
        <w:rPr>
          <w:rFonts w:hint="eastAsia" w:ascii="宋体" w:hAnsi="宋体" w:eastAsia="宋体"/>
          <w:sz w:val="24"/>
        </w:rPr>
        <w:t>GT-01-01a地块</w:t>
      </w:r>
      <w:r>
        <w:rPr>
          <w:rFonts w:hint="eastAsia" w:ascii="宋体" w:hAnsi="宋体" w:eastAsia="宋体"/>
          <w:sz w:val="24"/>
          <w:lang w:val="en-US" w:eastAsia="zh-CN"/>
        </w:rPr>
        <w:t>建筑面积115521.41平方米，</w:t>
      </w:r>
      <w:r>
        <w:rPr>
          <w:rFonts w:hint="eastAsia" w:ascii="宋体" w:hAnsi="宋体" w:eastAsia="宋体"/>
          <w:sz w:val="24"/>
        </w:rPr>
        <w:t>绿地率20%</w:t>
      </w:r>
      <w:r>
        <w:rPr>
          <w:rFonts w:hint="eastAsia" w:ascii="宋体" w:hAnsi="宋体" w:eastAsia="宋体"/>
          <w:sz w:val="24"/>
          <w:lang w:val="en-US" w:eastAsia="zh-CN"/>
        </w:rPr>
        <w:t>，由1幢17层酒店、1幢22层酒店、3幢5层商业办公楼和1幢4层商业办公楼组成；GT-01-01c地块建筑面积41489.01平方米，绿地率20%，由1幢3层会展中心组成；</w:t>
      </w:r>
      <w:r>
        <w:rPr>
          <w:rFonts w:hint="eastAsia" w:ascii="宋体" w:hAnsi="宋体" w:eastAsia="宋体"/>
          <w:sz w:val="24"/>
        </w:rPr>
        <w:t>GT-01-01b</w:t>
      </w:r>
      <w:r>
        <w:rPr>
          <w:rFonts w:hint="eastAsia" w:ascii="宋体" w:hAnsi="宋体" w:eastAsia="宋体"/>
          <w:sz w:val="24"/>
          <w:lang w:eastAsia="zh-CN"/>
        </w:rPr>
        <w:t>、</w:t>
      </w:r>
      <w:r>
        <w:rPr>
          <w:rFonts w:hint="eastAsia" w:ascii="宋体" w:hAnsi="宋体" w:eastAsia="宋体"/>
          <w:sz w:val="24"/>
        </w:rPr>
        <w:t>GT-01-01</w:t>
      </w:r>
      <w:r>
        <w:rPr>
          <w:rFonts w:hint="eastAsia" w:ascii="宋体" w:hAnsi="宋体" w:eastAsia="宋体"/>
          <w:sz w:val="24"/>
          <w:lang w:val="en-US" w:eastAsia="zh-CN"/>
        </w:rPr>
        <w:t>d</w:t>
      </w:r>
      <w:r>
        <w:rPr>
          <w:rFonts w:hint="eastAsia" w:ascii="宋体" w:hAnsi="宋体" w:eastAsia="宋体"/>
          <w:sz w:val="24"/>
        </w:rPr>
        <w:t>地块</w:t>
      </w:r>
      <w:r>
        <w:rPr>
          <w:rFonts w:hint="eastAsia" w:ascii="宋体" w:hAnsi="宋体" w:eastAsia="宋体"/>
          <w:sz w:val="24"/>
          <w:lang w:eastAsia="zh-CN"/>
        </w:rPr>
        <w:t>总</w:t>
      </w:r>
      <w:r>
        <w:rPr>
          <w:rFonts w:hint="eastAsia" w:ascii="宋体" w:hAnsi="宋体" w:eastAsia="宋体"/>
          <w:sz w:val="24"/>
          <w:lang w:val="en-US" w:eastAsia="zh-CN"/>
        </w:rPr>
        <w:t>建筑面积199166.13平方米，</w:t>
      </w:r>
      <w:r>
        <w:rPr>
          <w:rFonts w:hint="eastAsia" w:ascii="宋体" w:hAnsi="宋体" w:eastAsia="宋体"/>
          <w:sz w:val="24"/>
        </w:rPr>
        <w:t>绿</w:t>
      </w:r>
      <w:r>
        <w:rPr>
          <w:rFonts w:hint="eastAsia" w:ascii="宋体" w:hAnsi="宋体" w:eastAsia="宋体"/>
          <w:sz w:val="24"/>
          <w:lang w:eastAsia="zh-CN"/>
        </w:rPr>
        <w:t>地</w:t>
      </w:r>
      <w:r>
        <w:rPr>
          <w:rFonts w:hint="eastAsia" w:ascii="宋体" w:hAnsi="宋体" w:eastAsia="宋体"/>
          <w:sz w:val="24"/>
        </w:rPr>
        <w:t>率30%，</w:t>
      </w:r>
      <w:r>
        <w:rPr>
          <w:rFonts w:hint="eastAsia" w:ascii="宋体" w:hAnsi="宋体" w:eastAsia="宋体"/>
          <w:sz w:val="24"/>
          <w:lang w:val="en-US" w:eastAsia="zh-CN"/>
        </w:rPr>
        <w:t>由19幢11层住宅和5幢10层住宅组成</w:t>
      </w:r>
      <w:r>
        <w:rPr>
          <w:rFonts w:hint="eastAsia" w:ascii="宋体" w:hAnsi="宋体" w:eastAsia="宋体"/>
          <w:sz w:val="24"/>
        </w:rPr>
        <w:t>。</w:t>
      </w:r>
    </w:p>
    <w:p>
      <w:pPr>
        <w:spacing w:line="360" w:lineRule="auto"/>
        <w:ind w:firstLine="600" w:firstLineChars="25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其中</w:t>
      </w:r>
      <w:r>
        <w:rPr>
          <w:rFonts w:hint="eastAsia" w:ascii="宋体" w:hAnsi="宋体" w:eastAsia="宋体"/>
          <w:sz w:val="24"/>
          <w:lang w:val="en-US" w:eastAsia="zh-CN"/>
        </w:rPr>
        <w:t>GT-01-01b、</w:t>
      </w:r>
      <w:r>
        <w:rPr>
          <w:rFonts w:hint="eastAsia" w:ascii="宋体" w:hAnsi="宋体" w:eastAsia="宋体"/>
          <w:sz w:val="24"/>
        </w:rPr>
        <w:t>GT-01-01</w:t>
      </w:r>
      <w:r>
        <w:rPr>
          <w:rFonts w:hint="eastAsia" w:ascii="宋体" w:hAnsi="宋体" w:eastAsia="宋体"/>
          <w:sz w:val="24"/>
          <w:lang w:val="en-US" w:eastAsia="zh-CN"/>
        </w:rPr>
        <w:t>d地块（金宸美筑小区）</w:t>
      </w:r>
      <w:r>
        <w:rPr>
          <w:rFonts w:hint="eastAsia" w:ascii="宋体" w:hAnsi="宋体" w:eastAsia="宋体"/>
          <w:sz w:val="24"/>
        </w:rPr>
        <w:t>占地面积76862㎡，总建筑面积199166.13㎡，地上建筑面积144937.8㎡，其中可售住宅面积142368.48㎡，</w:t>
      </w:r>
      <w:r>
        <w:rPr>
          <w:rFonts w:hint="eastAsia" w:ascii="宋体" w:hAnsi="宋体" w:eastAsia="宋体"/>
          <w:sz w:val="24"/>
          <w:lang w:val="en-US" w:eastAsia="zh-CN"/>
        </w:rPr>
        <w:t>由19幢11层住宅和5幢10层住宅组成，</w:t>
      </w:r>
      <w:r>
        <w:rPr>
          <w:rFonts w:hint="eastAsia" w:ascii="宋体" w:hAnsi="宋体" w:eastAsia="宋体"/>
          <w:sz w:val="24"/>
        </w:rPr>
        <w:t>共建设</w:t>
      </w:r>
      <w:r>
        <w:rPr>
          <w:rFonts w:hint="eastAsia" w:ascii="宋体" w:hAnsi="宋体" w:eastAsia="宋体"/>
          <w:sz w:val="24"/>
          <w:lang w:eastAsia="zh-CN"/>
        </w:rPr>
        <w:t>住宅</w:t>
      </w:r>
      <w:r>
        <w:rPr>
          <w:rFonts w:hint="eastAsia" w:ascii="宋体" w:hAnsi="宋体" w:eastAsia="宋体"/>
          <w:sz w:val="24"/>
        </w:rPr>
        <w:t>1194套</w:t>
      </w:r>
      <w:r>
        <w:rPr>
          <w:rFonts w:hint="eastAsia" w:ascii="宋体" w:hAnsi="宋体" w:eastAsia="宋体"/>
          <w:sz w:val="24"/>
          <w:lang w:eastAsia="zh-CN"/>
        </w:rPr>
        <w:t>，</w:t>
      </w:r>
      <w:r>
        <w:rPr>
          <w:rFonts w:hint="eastAsia" w:ascii="宋体" w:hAnsi="宋体" w:eastAsia="宋体"/>
          <w:sz w:val="24"/>
        </w:rPr>
        <w:t>其他面积2569.32㎡</w:t>
      </w:r>
      <w:r>
        <w:rPr>
          <w:rFonts w:hint="eastAsia" w:ascii="宋体" w:hAnsi="宋体" w:eastAsia="宋体"/>
          <w:sz w:val="24"/>
          <w:lang w:eastAsia="zh-CN"/>
        </w:rPr>
        <w:t>。</w:t>
      </w:r>
      <w:r>
        <w:rPr>
          <w:rFonts w:hint="eastAsia" w:ascii="宋体" w:hAnsi="宋体" w:eastAsia="宋体"/>
          <w:sz w:val="24"/>
        </w:rPr>
        <w:t>地下总建筑面积54228.33㎡，</w:t>
      </w:r>
      <w:r>
        <w:rPr>
          <w:rFonts w:hint="eastAsia" w:ascii="宋体" w:hAnsi="宋体" w:eastAsia="宋体"/>
          <w:sz w:val="24"/>
          <w:lang w:eastAsia="zh-CN"/>
        </w:rPr>
        <w:t>包括</w:t>
      </w:r>
      <w:r>
        <w:rPr>
          <w:rFonts w:hint="eastAsia" w:ascii="宋体" w:hAnsi="宋体" w:eastAsia="宋体"/>
          <w:sz w:val="24"/>
          <w:lang w:val="en-US" w:eastAsia="zh-CN"/>
        </w:rPr>
        <w:t>车位1254个、储藏间381个</w:t>
      </w:r>
      <w:r>
        <w:rPr>
          <w:rFonts w:hint="eastAsia" w:ascii="宋体" w:hAnsi="宋体" w:eastAsia="宋体"/>
          <w:sz w:val="24"/>
        </w:rPr>
        <w:t>。</w:t>
      </w:r>
    </w:p>
    <w:p>
      <w:pPr>
        <w:spacing w:line="360" w:lineRule="auto"/>
        <w:ind w:firstLine="600" w:firstLineChars="250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前期物业服务企业：该项目物业办公用房坐落在本项目</w:t>
      </w:r>
      <w:r>
        <w:rPr>
          <w:rFonts w:hint="eastAsia" w:ascii="宋体" w:hAnsi="宋体" w:eastAsia="宋体"/>
          <w:color w:val="000000"/>
          <w:sz w:val="24"/>
          <w:lang w:val="en-US" w:eastAsia="zh-CN"/>
        </w:rPr>
        <w:t>5</w:t>
      </w:r>
      <w:r>
        <w:rPr>
          <w:rFonts w:hint="eastAsia" w:ascii="宋体" w:hAnsi="宋体" w:eastAsia="宋体"/>
          <w:color w:val="000000"/>
          <w:sz w:val="24"/>
        </w:rPr>
        <w:t>#楼</w:t>
      </w:r>
      <w:r>
        <w:rPr>
          <w:rFonts w:hint="eastAsia" w:ascii="宋体" w:hAnsi="宋体" w:eastAsia="宋体"/>
          <w:color w:val="000000"/>
          <w:sz w:val="24"/>
          <w:lang w:val="en-US" w:eastAsia="zh-CN"/>
        </w:rPr>
        <w:t>5-5</w:t>
      </w:r>
      <w:r>
        <w:rPr>
          <w:rFonts w:hint="eastAsia" w:ascii="宋体" w:hAnsi="宋体" w:eastAsia="宋体"/>
          <w:color w:val="000000"/>
          <w:sz w:val="24"/>
        </w:rPr>
        <w:t>室、</w:t>
      </w:r>
      <w:r>
        <w:rPr>
          <w:rFonts w:hint="eastAsia" w:ascii="宋体" w:hAnsi="宋体" w:eastAsia="宋体"/>
          <w:color w:val="000000"/>
          <w:sz w:val="24"/>
          <w:lang w:val="en-US" w:eastAsia="zh-CN"/>
        </w:rPr>
        <w:t>5-8</w:t>
      </w:r>
      <w:r>
        <w:rPr>
          <w:rFonts w:hint="eastAsia" w:ascii="宋体" w:hAnsi="宋体" w:eastAsia="宋体"/>
          <w:color w:val="000000"/>
          <w:sz w:val="24"/>
        </w:rPr>
        <w:t>室、</w:t>
      </w:r>
      <w:r>
        <w:rPr>
          <w:rFonts w:hint="eastAsia" w:ascii="宋体" w:hAnsi="宋体" w:eastAsia="宋体"/>
          <w:color w:val="000000"/>
          <w:sz w:val="24"/>
          <w:lang w:val="en-US" w:eastAsia="zh-CN"/>
        </w:rPr>
        <w:t>5-9</w:t>
      </w:r>
      <w:r>
        <w:rPr>
          <w:rFonts w:hint="eastAsia" w:ascii="宋体" w:hAnsi="宋体" w:eastAsia="宋体"/>
          <w:color w:val="000000"/>
          <w:sz w:val="24"/>
        </w:rPr>
        <w:t>室、21#楼102室，面积435.43㎡，物业经营用房坐落在</w:t>
      </w:r>
      <w:r>
        <w:rPr>
          <w:rFonts w:hint="eastAsia" w:ascii="宋体" w:hAnsi="宋体" w:eastAsia="宋体"/>
          <w:color w:val="000000"/>
          <w:sz w:val="24"/>
          <w:lang w:val="en-US" w:eastAsia="zh-CN"/>
        </w:rPr>
        <w:t>5</w:t>
      </w:r>
      <w:r>
        <w:rPr>
          <w:rFonts w:hint="eastAsia" w:ascii="宋体" w:hAnsi="宋体" w:eastAsia="宋体"/>
          <w:color w:val="000000"/>
          <w:sz w:val="24"/>
        </w:rPr>
        <w:t>#楼</w:t>
      </w:r>
      <w:r>
        <w:rPr>
          <w:rFonts w:hint="eastAsia" w:ascii="宋体" w:hAnsi="宋体" w:eastAsia="宋体"/>
          <w:color w:val="000000"/>
          <w:sz w:val="24"/>
          <w:lang w:val="en-US" w:eastAsia="zh-CN"/>
        </w:rPr>
        <w:t>5-1</w:t>
      </w:r>
      <w:r>
        <w:rPr>
          <w:rFonts w:hint="eastAsia" w:ascii="宋体" w:hAnsi="宋体" w:eastAsia="宋体"/>
          <w:color w:val="000000"/>
          <w:sz w:val="24"/>
        </w:rPr>
        <w:t>室、</w:t>
      </w:r>
      <w:r>
        <w:rPr>
          <w:rFonts w:hint="eastAsia" w:ascii="宋体" w:hAnsi="宋体" w:eastAsia="宋体"/>
          <w:color w:val="000000"/>
          <w:sz w:val="24"/>
          <w:lang w:val="en-US" w:eastAsia="zh-CN"/>
        </w:rPr>
        <w:t>5-2</w:t>
      </w:r>
      <w:r>
        <w:rPr>
          <w:rFonts w:hint="eastAsia" w:ascii="宋体" w:hAnsi="宋体" w:eastAsia="宋体"/>
          <w:color w:val="000000"/>
          <w:sz w:val="24"/>
        </w:rPr>
        <w:t>室、</w:t>
      </w:r>
      <w:r>
        <w:rPr>
          <w:rFonts w:hint="eastAsia" w:ascii="宋体" w:hAnsi="宋体" w:eastAsia="宋体"/>
          <w:color w:val="000000"/>
          <w:sz w:val="24"/>
          <w:lang w:val="en-US" w:eastAsia="zh-CN"/>
        </w:rPr>
        <w:t>5-4</w:t>
      </w:r>
      <w:r>
        <w:rPr>
          <w:rFonts w:hint="eastAsia" w:ascii="宋体" w:hAnsi="宋体" w:eastAsia="宋体"/>
          <w:color w:val="000000"/>
          <w:sz w:val="24"/>
        </w:rPr>
        <w:t>室、</w:t>
      </w:r>
      <w:r>
        <w:rPr>
          <w:rFonts w:hint="eastAsia" w:ascii="宋体" w:hAnsi="宋体" w:eastAsia="宋体"/>
          <w:color w:val="000000"/>
          <w:sz w:val="24"/>
          <w:lang w:val="en-US" w:eastAsia="zh-CN"/>
        </w:rPr>
        <w:t>5-6</w:t>
      </w:r>
      <w:r>
        <w:rPr>
          <w:rFonts w:hint="eastAsia" w:ascii="宋体" w:hAnsi="宋体" w:eastAsia="宋体"/>
          <w:color w:val="000000"/>
          <w:sz w:val="24"/>
        </w:rPr>
        <w:t>室、</w:t>
      </w:r>
      <w:r>
        <w:rPr>
          <w:rFonts w:hint="eastAsia" w:ascii="宋体" w:hAnsi="宋体" w:eastAsia="宋体"/>
          <w:color w:val="000000"/>
          <w:sz w:val="24"/>
          <w:lang w:val="en-US" w:eastAsia="zh-CN"/>
        </w:rPr>
        <w:t>5-7</w:t>
      </w:r>
      <w:r>
        <w:rPr>
          <w:rFonts w:hint="eastAsia" w:ascii="宋体" w:hAnsi="宋体" w:eastAsia="宋体"/>
          <w:color w:val="000000"/>
          <w:sz w:val="24"/>
        </w:rPr>
        <w:t>室、19#楼101室、102室、103室，面积581.18㎡。由衢州滨江浙建物业管理服务有限公司公司担任项目前期物业管理，并制定了金宸美筑临时管理规约（附件一）</w:t>
      </w:r>
      <w:r>
        <w:rPr>
          <w:rFonts w:hint="eastAsia" w:ascii="宋体" w:hAnsi="宋体" w:eastAsia="宋体"/>
          <w:color w:val="000000"/>
          <w:sz w:val="24"/>
          <w:lang w:eastAsia="zh-CN"/>
        </w:rPr>
        <w:t>和</w:t>
      </w:r>
      <w:r>
        <w:rPr>
          <w:rFonts w:hint="eastAsia" w:ascii="宋体" w:hAnsi="宋体" w:eastAsia="宋体"/>
          <w:color w:val="000000"/>
          <w:sz w:val="24"/>
        </w:rPr>
        <w:t>金宸美筑前期物业服务协议（附件二）</w:t>
      </w:r>
    </w:p>
    <w:p>
      <w:pPr>
        <w:spacing w:line="360" w:lineRule="auto"/>
        <w:ind w:firstLine="600" w:firstLineChars="250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5、</w:t>
      </w:r>
      <w:r>
        <w:rPr>
          <w:rFonts w:ascii="宋体" w:hAnsi="宋体" w:eastAsia="宋体"/>
          <w:color w:val="000000"/>
          <w:sz w:val="24"/>
        </w:rPr>
        <w:t>本项目浙（2022）衢州市不动产权第0046737号已抵押给</w:t>
      </w:r>
      <w:r>
        <w:rPr>
          <w:rFonts w:hint="eastAsia" w:ascii="宋体" w:hAnsi="宋体" w:eastAsia="宋体"/>
          <w:color w:val="000000"/>
          <w:sz w:val="24"/>
        </w:rPr>
        <w:t>中国建设银行股份有限公司衢州分行</w:t>
      </w:r>
      <w:r>
        <w:rPr>
          <w:rFonts w:ascii="宋体" w:hAnsi="宋体" w:eastAsia="宋体"/>
          <w:color w:val="000000"/>
          <w:sz w:val="24"/>
        </w:rPr>
        <w:t>,抵押土地面积为139524㎡，该抵押行同意该项目准予销售。</w:t>
      </w:r>
    </w:p>
    <w:p>
      <w:pPr>
        <w:spacing w:line="360" w:lineRule="auto"/>
        <w:ind w:firstLine="600" w:firstLineChars="250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6、衢州客厅金宸美筑小区，住宅建筑区间面积约95㎡-169㎡，毛坯交付。</w:t>
      </w:r>
    </w:p>
    <w:p>
      <w:pPr>
        <w:spacing w:line="360" w:lineRule="auto"/>
        <w:rPr>
          <w:rFonts w:ascii="宋体" w:hAnsi="宋体" w:eastAsia="宋体"/>
          <w:sz w:val="24"/>
        </w:rPr>
      </w:pPr>
    </w:p>
    <w:p>
      <w:pPr>
        <w:pStyle w:val="2"/>
        <w:rPr>
          <w:rFonts w:ascii="宋体" w:hAnsi="宋体" w:eastAsia="宋体"/>
          <w:sz w:val="24"/>
        </w:rPr>
      </w:pPr>
    </w:p>
    <w:p>
      <w:pPr>
        <w:pStyle w:val="2"/>
        <w:rPr>
          <w:rFonts w:ascii="宋体" w:hAnsi="宋体" w:eastAsia="宋体"/>
          <w:sz w:val="24"/>
        </w:rPr>
      </w:pPr>
    </w:p>
    <w:p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建设进度安排</w:t>
      </w:r>
    </w:p>
    <w:p>
      <w:pPr>
        <w:spacing w:line="360" w:lineRule="auto"/>
        <w:ind w:firstLine="600" w:firstLineChars="25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我公司开发的金宸美筑</w:t>
      </w:r>
      <w:r>
        <w:rPr>
          <w:rFonts w:hint="eastAsia" w:ascii="宋体" w:hAnsi="宋体" w:eastAsia="宋体"/>
          <w:sz w:val="24"/>
        </w:rPr>
        <w:t>1-24#</w:t>
      </w:r>
      <w:r>
        <w:rPr>
          <w:rFonts w:hint="eastAsia" w:ascii="宋体" w:hAnsi="宋体" w:eastAsia="宋体"/>
          <w:color w:val="000000"/>
          <w:sz w:val="24"/>
        </w:rPr>
        <w:t>楼具体计划安排如下：1-24#</w:t>
      </w:r>
      <w:r>
        <w:rPr>
          <w:rFonts w:hint="eastAsia" w:ascii="宋体" w:hAnsi="宋体" w:eastAsia="宋体"/>
          <w:sz w:val="24"/>
        </w:rPr>
        <w:t>楼于2022年11月开工至2025年10月竣工。</w:t>
      </w:r>
    </w:p>
    <w:p>
      <w:pPr>
        <w:spacing w:line="360" w:lineRule="auto"/>
        <w:ind w:firstLine="600" w:firstLineChars="25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附：施工进度表（详见附件</w:t>
      </w:r>
      <w:r>
        <w:rPr>
          <w:rFonts w:ascii="宋体" w:hAnsi="宋体" w:eastAsia="宋体" w:cs="宋体"/>
          <w:sz w:val="24"/>
        </w:rPr>
        <w:t>金宸美筑工程施工进度计划</w:t>
      </w:r>
      <w:r>
        <w:rPr>
          <w:rFonts w:hint="eastAsia" w:ascii="宋体" w:hAnsi="宋体" w:eastAsia="宋体"/>
          <w:sz w:val="24"/>
        </w:rPr>
        <w:t>横道图）</w:t>
      </w:r>
    </w:p>
    <w:p>
      <w:pPr>
        <w:pStyle w:val="2"/>
        <w:rPr>
          <w:rFonts w:ascii="宋体" w:hAnsi="宋体"/>
        </w:rPr>
      </w:pPr>
    </w:p>
    <w:p>
      <w:pPr>
        <w:spacing w:line="360" w:lineRule="auto"/>
        <w:rPr>
          <w:rFonts w:ascii="宋体" w:hAnsi="宋体" w:eastAsia="宋体"/>
          <w:b/>
          <w:color w:val="000000"/>
          <w:sz w:val="24"/>
        </w:rPr>
      </w:pPr>
      <w:r>
        <w:rPr>
          <w:rFonts w:hint="eastAsia" w:ascii="宋体" w:hAnsi="宋体" w:eastAsia="宋体"/>
          <w:b/>
          <w:color w:val="000000"/>
          <w:sz w:val="24"/>
        </w:rPr>
        <w:t>三、预售房屋套数</w:t>
      </w:r>
    </w:p>
    <w:p>
      <w:pPr>
        <w:spacing w:line="360" w:lineRule="auto"/>
        <w:ind w:firstLine="480" w:firstLineChars="200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金宸美筑</w:t>
      </w:r>
      <w:r>
        <w:rPr>
          <w:rFonts w:ascii="宋体" w:hAnsi="宋体" w:eastAsia="宋体"/>
          <w:color w:val="000000"/>
          <w:sz w:val="24"/>
        </w:rPr>
        <w:t>2</w:t>
      </w:r>
      <w:r>
        <w:rPr>
          <w:rFonts w:hint="eastAsia" w:ascii="宋体" w:hAnsi="宋体" w:eastAsia="宋体"/>
          <w:color w:val="000000"/>
          <w:sz w:val="24"/>
        </w:rPr>
        <w:t>#</w:t>
      </w:r>
      <w:r>
        <w:rPr>
          <w:rFonts w:hint="eastAsia" w:ascii="宋体" w:hAnsi="宋体" w:eastAsia="宋体"/>
          <w:color w:val="000000"/>
          <w:sz w:val="24"/>
          <w:lang w:val="en-US" w:eastAsia="zh-CN"/>
        </w:rPr>
        <w:t>楼11层住宅</w:t>
      </w:r>
      <w:r>
        <w:rPr>
          <w:rFonts w:hint="eastAsia" w:ascii="宋体" w:hAnsi="宋体" w:eastAsia="宋体"/>
          <w:color w:val="000000"/>
          <w:sz w:val="24"/>
        </w:rPr>
        <w:t>、</w:t>
      </w:r>
      <w:r>
        <w:rPr>
          <w:rFonts w:ascii="宋体" w:hAnsi="宋体" w:eastAsia="宋体"/>
          <w:color w:val="000000"/>
          <w:sz w:val="24"/>
        </w:rPr>
        <w:t>5</w:t>
      </w:r>
      <w:r>
        <w:rPr>
          <w:rFonts w:hint="eastAsia" w:ascii="宋体" w:hAnsi="宋体" w:eastAsia="宋体"/>
          <w:color w:val="000000"/>
          <w:sz w:val="24"/>
        </w:rPr>
        <w:t>#</w:t>
      </w:r>
      <w:r>
        <w:rPr>
          <w:rFonts w:hint="eastAsia" w:ascii="宋体" w:hAnsi="宋体" w:eastAsia="宋体"/>
          <w:color w:val="000000"/>
          <w:sz w:val="24"/>
          <w:lang w:val="en-US" w:eastAsia="zh-CN"/>
        </w:rPr>
        <w:t>楼11层住宅</w:t>
      </w:r>
      <w:r>
        <w:rPr>
          <w:rFonts w:hint="eastAsia" w:ascii="宋体" w:hAnsi="宋体" w:eastAsia="宋体"/>
          <w:color w:val="000000"/>
          <w:sz w:val="24"/>
        </w:rPr>
        <w:t>、</w:t>
      </w:r>
      <w:r>
        <w:rPr>
          <w:rFonts w:ascii="宋体" w:hAnsi="宋体" w:eastAsia="宋体"/>
          <w:color w:val="000000"/>
          <w:sz w:val="24"/>
        </w:rPr>
        <w:t>13</w:t>
      </w:r>
      <w:r>
        <w:rPr>
          <w:rFonts w:hint="eastAsia" w:ascii="宋体" w:hAnsi="宋体" w:eastAsia="宋体"/>
          <w:color w:val="000000"/>
          <w:sz w:val="24"/>
        </w:rPr>
        <w:t>#</w:t>
      </w:r>
      <w:r>
        <w:rPr>
          <w:rFonts w:hint="eastAsia" w:ascii="宋体" w:hAnsi="宋体" w:eastAsia="宋体"/>
          <w:color w:val="000000"/>
          <w:sz w:val="24"/>
          <w:lang w:val="en-US" w:eastAsia="zh-CN"/>
        </w:rPr>
        <w:t>楼10层住宅申请办理预售</w:t>
      </w:r>
      <w:r>
        <w:rPr>
          <w:rFonts w:hint="eastAsia" w:ascii="宋体" w:hAnsi="宋体" w:eastAsia="宋体"/>
          <w:color w:val="000000"/>
          <w:sz w:val="24"/>
        </w:rPr>
        <w:t>，</w:t>
      </w:r>
      <w:r>
        <w:rPr>
          <w:rFonts w:hint="eastAsia" w:ascii="宋体" w:hAnsi="宋体" w:eastAsia="宋体"/>
          <w:color w:val="000000"/>
          <w:sz w:val="24"/>
          <w:lang w:eastAsia="zh-CN"/>
        </w:rPr>
        <w:t>预售住宅</w:t>
      </w:r>
      <w:r>
        <w:rPr>
          <w:rFonts w:hint="eastAsia" w:ascii="宋体" w:hAnsi="宋体" w:eastAsia="宋体"/>
          <w:color w:val="000000"/>
          <w:sz w:val="24"/>
        </w:rPr>
        <w:t>面积</w:t>
      </w:r>
      <w:r>
        <w:rPr>
          <w:rFonts w:ascii="宋体" w:hAnsi="宋体" w:eastAsia="宋体"/>
          <w:color w:val="000000"/>
          <w:sz w:val="24"/>
          <w:u w:val="none"/>
        </w:rPr>
        <w:t>20725.03</w:t>
      </w:r>
      <w:r>
        <w:rPr>
          <w:rFonts w:hint="eastAsia" w:ascii="宋体" w:hAnsi="宋体" w:eastAsia="宋体"/>
          <w:color w:val="000000"/>
          <w:sz w:val="24"/>
          <w:u w:val="none"/>
        </w:rPr>
        <w:t>㎡</w:t>
      </w:r>
      <w:r>
        <w:rPr>
          <w:rFonts w:hint="eastAsia" w:ascii="宋体" w:hAnsi="宋体" w:eastAsia="宋体"/>
          <w:color w:val="000000"/>
          <w:sz w:val="24"/>
        </w:rPr>
        <w:t>，共计</w:t>
      </w:r>
      <w:r>
        <w:rPr>
          <w:rFonts w:hint="eastAsia" w:ascii="宋体" w:hAnsi="宋体" w:eastAsia="宋体"/>
          <w:color w:val="000000"/>
          <w:sz w:val="24"/>
          <w:u w:val="none"/>
        </w:rPr>
        <w:t>186</w:t>
      </w:r>
      <w:r>
        <w:rPr>
          <w:rFonts w:hint="eastAsia" w:ascii="宋体" w:hAnsi="宋体" w:eastAsia="宋体"/>
          <w:color w:val="000000"/>
          <w:sz w:val="24"/>
        </w:rPr>
        <w:t>套。</w:t>
      </w:r>
    </w:p>
    <w:p>
      <w:pPr>
        <w:spacing w:line="360" w:lineRule="auto"/>
        <w:rPr>
          <w:rFonts w:ascii="宋体" w:hAnsi="宋体" w:eastAsia="宋体"/>
          <w:b/>
          <w:sz w:val="24"/>
        </w:rPr>
      </w:pPr>
    </w:p>
    <w:p>
      <w:pPr>
        <w:spacing w:line="360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四、面积预测及分摊情况</w:t>
      </w:r>
    </w:p>
    <w:p>
      <w:pPr>
        <w:spacing w:line="360" w:lineRule="auto"/>
        <w:ind w:firstLine="480" w:firstLineChars="200"/>
        <w:rPr>
          <w:rFonts w:ascii="宋体" w:hAnsi="宋体" w:eastAsia="宋体"/>
          <w:color w:val="FF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目前需办理的金宸美筑</w:t>
      </w:r>
      <w:r>
        <w:rPr>
          <w:rFonts w:ascii="宋体" w:hAnsi="宋体" w:eastAsia="宋体"/>
          <w:color w:val="000000"/>
          <w:sz w:val="24"/>
        </w:rPr>
        <w:t>2</w:t>
      </w:r>
      <w:r>
        <w:rPr>
          <w:rFonts w:hint="eastAsia" w:ascii="宋体" w:hAnsi="宋体" w:eastAsia="宋体"/>
          <w:color w:val="000000"/>
          <w:sz w:val="24"/>
        </w:rPr>
        <w:t>#、</w:t>
      </w:r>
      <w:r>
        <w:rPr>
          <w:rFonts w:ascii="宋体" w:hAnsi="宋体" w:eastAsia="宋体"/>
          <w:color w:val="000000"/>
          <w:sz w:val="24"/>
        </w:rPr>
        <w:t>5</w:t>
      </w:r>
      <w:r>
        <w:rPr>
          <w:rFonts w:hint="eastAsia" w:ascii="宋体" w:hAnsi="宋体" w:eastAsia="宋体"/>
          <w:color w:val="000000"/>
          <w:sz w:val="24"/>
        </w:rPr>
        <w:t>#、</w:t>
      </w:r>
      <w:r>
        <w:rPr>
          <w:rFonts w:ascii="宋体" w:hAnsi="宋体" w:eastAsia="宋体"/>
          <w:color w:val="000000"/>
          <w:sz w:val="24"/>
        </w:rPr>
        <w:t>13</w:t>
      </w:r>
      <w:r>
        <w:rPr>
          <w:rFonts w:hint="eastAsia" w:ascii="宋体" w:hAnsi="宋体" w:eastAsia="宋体"/>
          <w:color w:val="000000"/>
          <w:sz w:val="24"/>
        </w:rPr>
        <w:t>#</w:t>
      </w:r>
      <w:r>
        <w:rPr>
          <w:rFonts w:hint="eastAsia" w:ascii="宋体" w:hAnsi="宋体" w:eastAsia="宋体"/>
          <w:color w:val="000000"/>
          <w:sz w:val="24"/>
          <w:lang w:eastAsia="zh-CN"/>
        </w:rPr>
        <w:t>住宅</w:t>
      </w:r>
      <w:r>
        <w:rPr>
          <w:rFonts w:hint="eastAsia" w:ascii="宋体" w:hAnsi="宋体" w:eastAsia="宋体"/>
          <w:color w:val="000000"/>
          <w:sz w:val="24"/>
        </w:rPr>
        <w:t>楼预售证，预售面积由衢州市华创房地产测绘有限公司提供，详见附件。</w:t>
      </w:r>
    </w:p>
    <w:p>
      <w:pPr>
        <w:spacing w:line="360" w:lineRule="auto"/>
        <w:rPr>
          <w:rFonts w:ascii="宋体" w:hAnsi="宋体" w:eastAsia="宋体"/>
          <w:b/>
          <w:sz w:val="24"/>
        </w:rPr>
      </w:pPr>
    </w:p>
    <w:p>
      <w:pPr>
        <w:pStyle w:val="2"/>
        <w:numPr>
          <w:ilvl w:val="0"/>
          <w:numId w:val="3"/>
        </w:numPr>
        <w:ind w:left="0" w:leftChars="0" w:firstLine="0" w:firstLineChars="0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公共部位和公共设施的具体范围</w:t>
      </w:r>
    </w:p>
    <w:p>
      <w:pPr>
        <w:spacing w:line="360" w:lineRule="auto"/>
        <w:ind w:firstLine="480" w:firstLineChars="200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小区内全体业主共有的公共部位和公共设施包括：公共绿化景观，室外道路；地面室外机动车及非机动车临时停车位、景观水池、景观水沟等（附详图）；有公共空间、骑楼空间、过街门楼、景观廊亭、公共楼电梯通道等平面布置图。</w:t>
      </w:r>
    </w:p>
    <w:p>
      <w:pPr>
        <w:spacing w:line="360" w:lineRule="auto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根据有关法律法规和物业买卖合同，业主享有以下物业共用部位、共有设施的共有权：</w:t>
      </w:r>
    </w:p>
    <w:p>
      <w:pPr>
        <w:spacing w:line="360" w:lineRule="auto"/>
        <w:ind w:firstLine="480" w:firstLineChars="200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1、由单幢建筑物的全体业主共有的共用部位，包括该幢建筑物的承重结构、主体结构公共门厅、公共走廊、公共楼梯间、户外墙面、分户隔墙、屋面、维修通道、水井、强弱电井等。</w:t>
      </w:r>
    </w:p>
    <w:p>
      <w:pPr>
        <w:spacing w:line="360" w:lineRule="auto"/>
        <w:ind w:firstLine="480" w:firstLineChars="200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2、由单幢建筑物的全体业主共有的共用设施设备、包括该幢建筑物内的给排水管道、落水管、水箱、水泵、电梯、冷暖设施、照明设施、消防设施、避雷设施、化粪池、垃圾房（箱）、智能化系统设备、给水管线、强弱电管线、排烟管道等；</w:t>
      </w:r>
    </w:p>
    <w:p>
      <w:pPr>
        <w:spacing w:line="360" w:lineRule="auto"/>
        <w:ind w:firstLine="480" w:firstLineChars="200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3、由物业管理区域内全体业主共有的共用部位和共用设施设备，包括围墙、池井、照明设备、共用设施设备使用的房屋、物业管理用房、送风井道、排烟井道、过街门楼、景观廊亭、公共楼电梯通道等。</w:t>
      </w:r>
    </w:p>
    <w:p>
      <w:pPr>
        <w:rPr>
          <w:rFonts w:ascii="宋体" w:hAnsi="宋体" w:eastAsia="宋体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>
      <w:pPr>
        <w:spacing w:line="360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六、预售房屋价格及变动幅度</w:t>
      </w:r>
    </w:p>
    <w:p>
      <w:pPr>
        <w:spacing w:line="360" w:lineRule="auto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sz w:val="24"/>
        </w:rPr>
        <w:t>1</w:t>
      </w:r>
      <w:r>
        <w:rPr>
          <w:rFonts w:hint="eastAsia" w:ascii="宋体" w:hAnsi="宋体" w:eastAsia="宋体"/>
          <w:color w:val="000000"/>
          <w:sz w:val="24"/>
        </w:rPr>
        <w:t>、金宸美筑</w:t>
      </w:r>
      <w:r>
        <w:rPr>
          <w:rFonts w:ascii="宋体" w:hAnsi="宋体" w:eastAsia="宋体"/>
          <w:sz w:val="24"/>
        </w:rPr>
        <w:t>2</w:t>
      </w:r>
      <w:r>
        <w:rPr>
          <w:rFonts w:hint="eastAsia" w:ascii="宋体" w:hAnsi="宋体" w:eastAsia="宋体"/>
          <w:sz w:val="24"/>
        </w:rPr>
        <w:t>#、</w:t>
      </w:r>
      <w:r>
        <w:rPr>
          <w:rFonts w:ascii="宋体" w:hAnsi="宋体" w:eastAsia="宋体"/>
          <w:sz w:val="24"/>
        </w:rPr>
        <w:t>5</w:t>
      </w:r>
      <w:r>
        <w:rPr>
          <w:rFonts w:hint="eastAsia" w:ascii="宋体" w:hAnsi="宋体" w:eastAsia="宋体"/>
          <w:sz w:val="24"/>
        </w:rPr>
        <w:t>#、</w:t>
      </w:r>
      <w:r>
        <w:rPr>
          <w:rFonts w:ascii="宋体" w:hAnsi="宋体" w:eastAsia="宋体"/>
          <w:sz w:val="24"/>
        </w:rPr>
        <w:t>13</w:t>
      </w:r>
      <w:r>
        <w:rPr>
          <w:rFonts w:hint="eastAsia" w:ascii="宋体" w:hAnsi="宋体" w:eastAsia="宋体"/>
          <w:sz w:val="24"/>
        </w:rPr>
        <w:t>#</w:t>
      </w:r>
      <w:r>
        <w:rPr>
          <w:rFonts w:hint="eastAsia" w:ascii="宋体" w:hAnsi="宋体" w:eastAsia="宋体"/>
          <w:sz w:val="24"/>
          <w:lang w:eastAsia="zh-CN"/>
        </w:rPr>
        <w:t>住宅</w:t>
      </w:r>
      <w:r>
        <w:rPr>
          <w:rFonts w:hint="eastAsia" w:ascii="宋体" w:hAnsi="宋体" w:eastAsia="宋体"/>
          <w:sz w:val="24"/>
        </w:rPr>
        <w:t>楼</w:t>
      </w:r>
      <w:r>
        <w:rPr>
          <w:rFonts w:hint="eastAsia" w:ascii="宋体" w:hAnsi="宋体" w:eastAsia="宋体"/>
          <w:color w:val="000000"/>
          <w:sz w:val="24"/>
        </w:rPr>
        <w:t>价格表（价格见附件）</w:t>
      </w:r>
    </w:p>
    <w:tbl>
      <w:tblPr>
        <w:tblStyle w:val="10"/>
        <w:tblW w:w="9257" w:type="dxa"/>
        <w:tblInd w:w="9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8"/>
        <w:gridCol w:w="1100"/>
        <w:gridCol w:w="1096"/>
        <w:gridCol w:w="1180"/>
        <w:gridCol w:w="1217"/>
        <w:gridCol w:w="986"/>
        <w:gridCol w:w="1098"/>
        <w:gridCol w:w="1217"/>
        <w:gridCol w:w="70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9257" w:type="dxa"/>
            <w:gridSpan w:val="9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40"/>
                <w:szCs w:val="4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金宸美筑2#楼一房一价表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9257" w:type="dxa"/>
            <w:gridSpan w:val="9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40"/>
                <w:szCs w:val="4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9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项目名称</w:t>
            </w:r>
          </w:p>
        </w:tc>
        <w:tc>
          <w:tcPr>
            <w:tcW w:w="1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房号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预测建筑面积（m²）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预测套内面积（m²）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分摊面积（m²）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预售申报单价（元/m²）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预售申报总价（元）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2-1-101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125.06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108.31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16.75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20295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2538093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2-1-102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101.81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88.17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13.64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19703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2005962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2-2-101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101.81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88.17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13.64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19579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1993338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2-2-102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124.98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108.23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16.75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19558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2444359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2-3-101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101.81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88.17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13.64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19434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1978576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2-3-102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125.06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108.31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16.75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19724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2466683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2-1-201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129.99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112.58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17.41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20710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2692093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2-1-202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129.91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112.51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17.4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2613659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2-2-201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129.92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112.51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17.41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19994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2597620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2-2-202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129.92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112.51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17.41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19973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2594892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2-3-201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129.91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112.51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17.4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19849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2578584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2-3-202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129.99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112.58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17.41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20139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2617869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2-1-301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129.99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112.58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17.41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20918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2719131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2-1-302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129.91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112.51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17.4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20326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2640551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2-2-301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129.92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112.51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17.41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2624644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2-2-302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129.92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112.51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17.41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20181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2621916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2-3-301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129.91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112.51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17.4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2605475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2-3-302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129.99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112.58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17.41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20347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2644907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2-1-401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129.99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112.58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17.41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21229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2759558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2-1-402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129.91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112.51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17.4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20638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2681083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2-2-401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129.92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112.51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17.41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20513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2665049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2-2-402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129.92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112.51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17.41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20492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2662321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2-3-401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129.91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112.51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17.4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20368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2646007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2-3-402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129.99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112.58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17.41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20659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2685463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2-1-501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129.99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112.58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17.41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21541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2800115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2-1-502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129.91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112.51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17.4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20949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2721485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2-2-501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129.92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112.51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17.41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20825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2705584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2-2-502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129.92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112.51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17.41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20804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2702856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2-3-501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129.91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112.51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17.4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20679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2686409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2-3-502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129.99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112.58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17.41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20970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2725890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2-1-601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129.99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112.58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17.41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21852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2840541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2-1-602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129.91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112.51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17.4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21261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2762017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2-2-601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129.92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112.51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17.41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21136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2745989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2-2-602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129.92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112.51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17.41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21115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2743261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2-3-601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129.91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112.51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17.4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20991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2726941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2-3-602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129.99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112.58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17.41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21281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2766317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2-1-701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129.99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112.58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17.41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22060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2867579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2-1-702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129.91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112.51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17.4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21468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2788908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2-2-701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129.92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112.51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17.41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21344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2773012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2-2-702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129.92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112.51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17.41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21323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2770284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2-3-701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129.91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112.51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17.4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21198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2753832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2-3-702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129.99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112.58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17.41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21489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2793355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2-1-801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129.99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112.58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17.41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22164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2881098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2-1-802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129.91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112.51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17.4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21572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2802419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2-2-801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129.92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112.51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17.41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21447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2786394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2-2-802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129.92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112.51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17.41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21427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2783796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2-3-801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129.91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112.51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17.4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21302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2767343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2-3-802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129.99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112.58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17.41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21593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2806874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2-1-901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129.99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112.58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17.41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22268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2894617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2-1-902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129.91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112.51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17.4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21676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2815929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2-2-901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129.92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112.51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17.41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21551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2799906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2-2-902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129.92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112.51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17.41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21531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2797308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2-3-901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129.91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112.51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17.4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21406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2780853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2-3-902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129.99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112.58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17.41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21697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2820393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2-1-1001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129.99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112.58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17.41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22371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2908006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2-1-1002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129.91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112.51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17.4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21780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2829440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2-2-1001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129.92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112.51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17.41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21655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2813418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2-2-1002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129.92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112.51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17.41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21634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2810689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2-3-1001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129.91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112.51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17.4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21510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2794364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2-3-1002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129.99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112.58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17.41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21800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2833782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2-1-1101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129.99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112.58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17.41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21852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2840541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2-1-1102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129.91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112.51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17.4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21261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2762017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2-2-1101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129.92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112.51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17.41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21136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2745989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2-2-1102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129.92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112.51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17.41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21115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2743261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2-3-1101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129.91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112.51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17.4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20991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2726941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2-3-1102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129.99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112.58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17.41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21281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2766317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合计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8476.93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7341.36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1135.57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21006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178063903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pStyle w:val="2"/>
        <w:ind w:left="0" w:leftChars="0" w:firstLine="0" w:firstLineChars="0"/>
        <w:rPr>
          <w:rFonts w:ascii="宋体" w:hAnsi="宋体"/>
          <w:color w:val="000000"/>
          <w:sz w:val="24"/>
        </w:rPr>
      </w:pPr>
    </w:p>
    <w:p>
      <w:pPr>
        <w:pStyle w:val="2"/>
        <w:ind w:left="0" w:leftChars="0" w:firstLine="0" w:firstLineChars="0"/>
        <w:rPr>
          <w:rFonts w:ascii="宋体" w:hAnsi="宋体"/>
          <w:color w:val="000000"/>
          <w:sz w:val="24"/>
        </w:rPr>
      </w:pPr>
    </w:p>
    <w:p>
      <w:pPr>
        <w:pStyle w:val="2"/>
        <w:ind w:left="0" w:leftChars="0" w:firstLine="0" w:firstLineChars="0"/>
        <w:rPr>
          <w:rFonts w:ascii="宋体" w:hAnsi="宋体"/>
          <w:color w:val="000000"/>
          <w:sz w:val="24"/>
        </w:rPr>
      </w:pPr>
    </w:p>
    <w:p>
      <w:pPr>
        <w:pStyle w:val="2"/>
        <w:ind w:left="0" w:leftChars="0" w:firstLine="0" w:firstLineChars="0"/>
        <w:rPr>
          <w:rFonts w:ascii="宋体" w:hAnsi="宋体"/>
          <w:color w:val="000000"/>
          <w:sz w:val="24"/>
        </w:rPr>
      </w:pPr>
    </w:p>
    <w:p>
      <w:pPr>
        <w:pStyle w:val="2"/>
        <w:ind w:left="0" w:leftChars="0" w:firstLine="0" w:firstLineChars="0"/>
        <w:rPr>
          <w:rFonts w:ascii="宋体" w:hAnsi="宋体"/>
          <w:color w:val="000000"/>
          <w:sz w:val="24"/>
        </w:rPr>
      </w:pPr>
    </w:p>
    <w:p>
      <w:pPr>
        <w:pStyle w:val="2"/>
        <w:ind w:left="0" w:leftChars="0" w:firstLine="0" w:firstLineChars="0"/>
        <w:rPr>
          <w:rFonts w:ascii="宋体" w:hAnsi="宋体"/>
          <w:color w:val="000000"/>
          <w:sz w:val="24"/>
        </w:rPr>
      </w:pPr>
    </w:p>
    <w:p>
      <w:pPr>
        <w:pStyle w:val="2"/>
        <w:ind w:left="0" w:leftChars="0" w:firstLine="0" w:firstLineChars="0"/>
        <w:rPr>
          <w:rFonts w:ascii="宋体" w:hAnsi="宋体"/>
          <w:color w:val="000000"/>
          <w:sz w:val="24"/>
        </w:rPr>
      </w:pPr>
    </w:p>
    <w:tbl>
      <w:tblPr>
        <w:tblStyle w:val="10"/>
        <w:tblW w:w="9205" w:type="dxa"/>
        <w:tblInd w:w="9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8"/>
        <w:gridCol w:w="1100"/>
        <w:gridCol w:w="1096"/>
        <w:gridCol w:w="1147"/>
        <w:gridCol w:w="1123"/>
        <w:gridCol w:w="943"/>
        <w:gridCol w:w="1038"/>
        <w:gridCol w:w="1380"/>
        <w:gridCol w:w="72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9205" w:type="dxa"/>
            <w:gridSpan w:val="9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金宸美筑5#一房一价表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</w:trPr>
        <w:tc>
          <w:tcPr>
            <w:tcW w:w="9205" w:type="dxa"/>
            <w:gridSpan w:val="9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7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项目名称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房号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预测建筑面积（m²）</w:t>
            </w:r>
          </w:p>
        </w:tc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预测套内面积（m²）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分摊面积（m²）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预售申报单价（元/m²）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预售申报总价（元）</w:t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5-1-201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115.18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97.04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18.14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20287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2336657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5-1-202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115.18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97.04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18.14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19695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2268470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5-2-201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115.18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97.04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18.14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19675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2266167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5-2-202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115.18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97.04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18.14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19654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2263748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5-3-201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96.72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78.83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17.89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19425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1878786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5-3-202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96.69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78.8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17.89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19716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1906340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5-1-301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115.18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97.04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18.14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20495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2360614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5-1-302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115.18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97.04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18.14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19903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2292428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5-2-301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115.18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97.04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18.14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19882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2290009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5-2-302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115.18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97.04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18.14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19862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2287705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5-3-301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96.72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78.83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17.89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19633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1898904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5-3-302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96.69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78.8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17.89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19924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1926452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5-1-401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115.18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97.04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18.14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20806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2396435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5-1-402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115.18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97.04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18.14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2328249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5-2-401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115.18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97.04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18.14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20194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2325945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5-2-402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115.18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97.04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18.14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20173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2323526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5-3-401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96.72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78.83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17.89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19945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1929080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5-3-402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96.69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78.8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17.89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20235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1956522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5-1-501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115.18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97.04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18.14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21118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2432371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5-1-502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115.18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97.04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18.14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20526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2364185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5-2-501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115.18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97.04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18.14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20505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2361766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5-2-502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115.18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97.04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18.14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20484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2359347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5-3-501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96.72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78.83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17.89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1959160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5-3-502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96.69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78.8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17.89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20547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1986689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5-1-601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115.18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97.04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18.14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21429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2468192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5-1-602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115.18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97.04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18.14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20837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2400006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5-2-601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115.18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97.04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18.14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20817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2397702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5-2-602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115.18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97.04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18.14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20796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2395283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5-3-601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96.72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78.83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17.89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20567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1989240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5-3-602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96.69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78.8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17.89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20858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2016760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5-1-701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115.18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97.04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18.14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21637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2492150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5-1-702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115.18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97.04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18.14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21045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2423963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5-2-701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115.18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97.04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18.14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21024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2421544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5-2-702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115.18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97.04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18.14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21003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2419126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5-3-701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96.72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78.83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17.89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20775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2009358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5-3-702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96.69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78.8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17.89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21066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2036872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5-1-801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115.18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97.04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18.14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21740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2504013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5-1-802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115.18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97.04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18.14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21149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2435942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5-2-801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115.18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97.04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18.14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21128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2433523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5-2-802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115.18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97.04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18.14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21107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2431104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5-3-801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96.72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78.83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17.89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20879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2019417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5-3-802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96.69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78.8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17.89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21170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2046927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5-1-901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115.18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97.04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18.14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21844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2515992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5-1-902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115.18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97.04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18.14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21253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2447921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5-2-901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115.18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97.04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18.14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21232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2445502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5-2-902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115.18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97.04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18.14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21211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2443083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5-3-901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96.72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78.83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17.89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20983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2029476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5-3-902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96.69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78.8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17.89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21273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2056886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5-1-1001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115.18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97.04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18.14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21948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2527971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5-1-1002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115.18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97.04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18.14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21356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2459784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5-2-1001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115.18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97.04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18.14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21336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2457480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5-2-1002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115.18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97.04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18.14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21315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2455062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5-3-1001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96.72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78.83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17.89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21086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2039438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5-3-1002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96.69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78.8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17.89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21377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2066942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5-1-1101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115.18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97.04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18.14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21429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2468192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5-1-1102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115.18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97.04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18.14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20837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2400006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5-2-1101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115.18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97.04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18.14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20817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2397702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5-2-1102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115.18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97.04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18.14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20796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2395283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5-3-1101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96.72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78.83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17.89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20567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1989240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5-3-1102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96.69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78.8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17.89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20858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2016760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6541.3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5457.9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1083.4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20738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135653397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pStyle w:val="2"/>
        <w:ind w:left="0" w:leftChars="0" w:firstLine="0" w:firstLineChars="0"/>
        <w:rPr>
          <w:rFonts w:hint="eastAsia" w:ascii="宋体" w:hAnsi="宋体"/>
          <w:color w:val="000000"/>
          <w:sz w:val="24"/>
        </w:rPr>
      </w:pPr>
    </w:p>
    <w:p>
      <w:pPr>
        <w:pStyle w:val="2"/>
        <w:ind w:left="0" w:leftChars="0" w:firstLine="0" w:firstLineChars="0"/>
        <w:rPr>
          <w:rFonts w:ascii="宋体" w:hAnsi="宋体"/>
          <w:color w:val="000000"/>
          <w:sz w:val="24"/>
        </w:rPr>
      </w:pPr>
    </w:p>
    <w:p>
      <w:pPr>
        <w:pStyle w:val="2"/>
        <w:ind w:left="0" w:leftChars="0" w:firstLine="0" w:firstLineChars="0"/>
        <w:rPr>
          <w:rFonts w:ascii="宋体" w:hAnsi="宋体"/>
          <w:color w:val="000000"/>
          <w:sz w:val="24"/>
        </w:rPr>
      </w:pPr>
    </w:p>
    <w:p>
      <w:pPr>
        <w:pStyle w:val="2"/>
        <w:ind w:left="0" w:leftChars="0" w:firstLine="0" w:firstLineChars="0"/>
        <w:rPr>
          <w:rFonts w:ascii="宋体" w:hAnsi="宋体"/>
          <w:color w:val="000000"/>
          <w:sz w:val="24"/>
        </w:rPr>
      </w:pPr>
    </w:p>
    <w:p>
      <w:pPr>
        <w:pStyle w:val="2"/>
        <w:ind w:left="0" w:leftChars="0" w:firstLine="0" w:firstLineChars="0"/>
        <w:rPr>
          <w:rFonts w:ascii="宋体" w:hAnsi="宋体"/>
          <w:color w:val="000000"/>
          <w:sz w:val="24"/>
        </w:rPr>
      </w:pPr>
    </w:p>
    <w:p>
      <w:pPr>
        <w:pStyle w:val="2"/>
        <w:ind w:left="0" w:leftChars="0" w:firstLine="0" w:firstLineChars="0"/>
        <w:rPr>
          <w:rFonts w:ascii="宋体" w:hAnsi="宋体"/>
          <w:color w:val="000000"/>
          <w:sz w:val="24"/>
        </w:rPr>
      </w:pPr>
    </w:p>
    <w:p>
      <w:pPr>
        <w:pStyle w:val="2"/>
        <w:ind w:left="0" w:leftChars="0" w:firstLine="0" w:firstLineChars="0"/>
        <w:rPr>
          <w:rFonts w:ascii="宋体" w:hAnsi="宋体"/>
          <w:color w:val="000000"/>
          <w:sz w:val="24"/>
        </w:rPr>
      </w:pPr>
    </w:p>
    <w:p>
      <w:pPr>
        <w:pStyle w:val="2"/>
        <w:ind w:left="0" w:leftChars="0" w:firstLine="0" w:firstLineChars="0"/>
        <w:rPr>
          <w:rFonts w:ascii="宋体" w:hAnsi="宋体"/>
          <w:color w:val="000000"/>
          <w:sz w:val="24"/>
        </w:rPr>
      </w:pPr>
    </w:p>
    <w:p>
      <w:pPr>
        <w:pStyle w:val="2"/>
        <w:ind w:left="0" w:leftChars="0" w:firstLine="0" w:firstLineChars="0"/>
        <w:rPr>
          <w:rFonts w:ascii="宋体" w:hAnsi="宋体"/>
          <w:color w:val="000000"/>
          <w:sz w:val="24"/>
        </w:rPr>
      </w:pPr>
    </w:p>
    <w:p>
      <w:pPr>
        <w:pStyle w:val="2"/>
        <w:ind w:left="0" w:leftChars="0" w:firstLine="0" w:firstLineChars="0"/>
        <w:rPr>
          <w:rFonts w:ascii="宋体" w:hAnsi="宋体"/>
          <w:color w:val="000000"/>
          <w:sz w:val="24"/>
        </w:rPr>
      </w:pPr>
    </w:p>
    <w:p>
      <w:pPr>
        <w:pStyle w:val="2"/>
        <w:ind w:left="0" w:leftChars="0" w:firstLine="0" w:firstLineChars="0"/>
        <w:rPr>
          <w:rFonts w:ascii="宋体" w:hAnsi="宋体"/>
          <w:color w:val="000000"/>
          <w:sz w:val="24"/>
        </w:rPr>
      </w:pPr>
    </w:p>
    <w:p>
      <w:pPr>
        <w:pStyle w:val="2"/>
        <w:ind w:left="0" w:leftChars="0" w:firstLine="0" w:firstLineChars="0"/>
        <w:rPr>
          <w:rFonts w:ascii="宋体" w:hAnsi="宋体"/>
          <w:color w:val="000000"/>
          <w:sz w:val="24"/>
        </w:rPr>
      </w:pPr>
    </w:p>
    <w:p>
      <w:pPr>
        <w:pStyle w:val="2"/>
        <w:ind w:left="0" w:leftChars="0" w:firstLine="0" w:firstLineChars="0"/>
        <w:rPr>
          <w:rFonts w:ascii="宋体" w:hAnsi="宋体"/>
          <w:color w:val="000000"/>
          <w:sz w:val="24"/>
        </w:rPr>
      </w:pPr>
    </w:p>
    <w:tbl>
      <w:tblPr>
        <w:tblStyle w:val="10"/>
        <w:tblW w:w="9276" w:type="dxa"/>
        <w:tblInd w:w="9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8"/>
        <w:gridCol w:w="1100"/>
        <w:gridCol w:w="1206"/>
        <w:gridCol w:w="1124"/>
        <w:gridCol w:w="1126"/>
        <w:gridCol w:w="972"/>
        <w:gridCol w:w="1010"/>
        <w:gridCol w:w="1428"/>
        <w:gridCol w:w="65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9280" w:type="dxa"/>
            <w:gridSpan w:val="9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金宸美筑13#一房一价表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</w:trPr>
        <w:tc>
          <w:tcPr>
            <w:tcW w:w="9280" w:type="dxa"/>
            <w:gridSpan w:val="9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7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项目名称</w:t>
            </w:r>
          </w:p>
        </w:tc>
        <w:tc>
          <w:tcPr>
            <w:tcW w:w="1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房号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预测建筑面积（m²）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预测套内面积（m²）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分摊面积（m²）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预售申报单价（元/m²）</w:t>
            </w:r>
          </w:p>
        </w:tc>
        <w:tc>
          <w:tcPr>
            <w:tcW w:w="1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预售申报总价（元）</w:t>
            </w:r>
          </w:p>
        </w:tc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13-1-101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95.18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78.8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16.38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1914546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13-1-102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95.1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78.73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16.37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19523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1856637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13-2-101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95.06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78.69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16.37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19398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1843974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13-2-102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95.06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78.69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16.37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19378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1842073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13-3-101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95.1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78.73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16.37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19357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1840851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13-3-102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95.18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78.8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16.38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19648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1870097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13-1-201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95.18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78.8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16.38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20426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1944147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13-1-202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95.1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78.73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16.37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19834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1886213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13-2-201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95.06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78.69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16.37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19710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1873633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13-2-202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95.06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78.69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16.37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19689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1871636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13-3-201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95.1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78.73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16.37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19668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1870427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13-3-202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95.18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78.8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16.38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19959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1899698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13-1-301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95.18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78.8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16.38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20634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1963944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13-1-302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95.1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78.73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16.37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20042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1905994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13-2-301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95.06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78.69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16.37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19918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1893405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13-2-302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95.06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78.69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16.37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19897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1891409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13-3-301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95.1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78.73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16.37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19876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1890208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13-3-302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95.18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78.8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16.38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20167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1919495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13-1-401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95.18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78.8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16.38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20945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1993545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13-1-402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95.1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78.73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16.37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20354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1935665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13-2-401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95.06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78.69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16.37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20229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1922969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13-2-402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95.06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78.69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16.37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1920972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13-3-401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95.1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78.73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16.37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20187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1919784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13-3-402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95.18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78.8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16.38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20478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1949096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13-1-501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95.18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78.8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16.38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21257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2023241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13-1-502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95.1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78.73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16.37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20665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1965242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13-2-501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95.06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78.69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16.37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20540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1952532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13-2-502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95.06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78.69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16.37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20520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1950631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13-3-501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95.1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78.73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16.37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20499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1949455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13-3-502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95.18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78.8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16.38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20790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1978792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13-1-601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95.18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78.8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16.38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21568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2052842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13-1-602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95.1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78.73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16.37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20976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1994818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13-2-601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95.06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78.69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16.37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20852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1982191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13-2-602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95.06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78.69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16.37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20831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1980195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13-3-601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95.1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78.73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16.37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20810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1979031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13-3-602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95.18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78.8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16.38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21101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2008393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13-1-701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95.18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78.8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16.38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21776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2072640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13-1-702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95.1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78.73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16.37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21184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2014598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13-2-701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95.06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78.69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16.37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21059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2001869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13-2-702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95.06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78.69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16.37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21039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1999967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13-3-701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95.1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78.73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16.37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21018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1998812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13-3-702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95.18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78.8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16.38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21309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2028191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13-1-801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95.18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78.8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16.38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21983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2092342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13-1-802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95.1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78.73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16.37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21392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2034379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13-2-801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95.06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78.69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16.37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21267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2021641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13-2-802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95.06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78.69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16.37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21246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2019645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13-3-801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95.1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78.73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16.37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21226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2018593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13-3-802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95.18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78.8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16.38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21516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2047893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13-1-901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95.18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78.8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16.38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22191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2112139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13-1-902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95.1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78.73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16.37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21599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2054065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13-2-901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95.06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78.69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16.37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21475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2041414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13-2-902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95.06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78.69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16.37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21454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2039417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13-3-901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95.1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78.73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16.37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21433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2038278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13-3-902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95.18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78.8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16.38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21724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2067690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13-1-1001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95.18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78.8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16.38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21672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2062741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13-1-1002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95.1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78.73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16.37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21080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2004708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13-2-1001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95.06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78.69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16.37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20956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1992077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13-2-1002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95.06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78.69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16.37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20935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1990081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13-3-1001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95.1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78.73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16.37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20914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1988921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13-3-1002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95.18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78.8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16.38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21205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2018292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合计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5706.8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4724.4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982.4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20712</w:t>
            </w:r>
          </w:p>
        </w:tc>
        <w:tc>
          <w:tcPr>
            <w:tcW w:w="1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118198174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pStyle w:val="2"/>
        <w:ind w:left="0" w:leftChars="0" w:firstLine="0" w:firstLineChars="0"/>
        <w:rPr>
          <w:rFonts w:ascii="宋体" w:hAnsi="宋体"/>
          <w:color w:val="000000"/>
          <w:sz w:val="24"/>
        </w:rPr>
      </w:pPr>
    </w:p>
    <w:p>
      <w:pPr>
        <w:pStyle w:val="2"/>
        <w:ind w:left="0" w:leftChars="0" w:firstLine="0" w:firstLineChars="0"/>
        <w:rPr>
          <w:rFonts w:ascii="宋体" w:hAnsi="宋体"/>
          <w:color w:val="000000"/>
          <w:sz w:val="24"/>
        </w:rPr>
      </w:pPr>
    </w:p>
    <w:p>
      <w:pPr>
        <w:pStyle w:val="2"/>
        <w:ind w:left="0" w:leftChars="0" w:firstLine="0" w:firstLineChars="0"/>
        <w:rPr>
          <w:rFonts w:ascii="宋体" w:hAnsi="宋体"/>
          <w:color w:val="000000"/>
          <w:sz w:val="24"/>
        </w:rPr>
      </w:pPr>
    </w:p>
    <w:p>
      <w:pPr>
        <w:pStyle w:val="2"/>
        <w:ind w:left="0" w:leftChars="0" w:firstLine="0" w:firstLineChars="0"/>
        <w:rPr>
          <w:rFonts w:ascii="宋体" w:hAnsi="宋体"/>
          <w:color w:val="000000"/>
          <w:sz w:val="24"/>
        </w:rPr>
      </w:pPr>
    </w:p>
    <w:p>
      <w:pPr>
        <w:pStyle w:val="2"/>
        <w:ind w:left="0" w:leftChars="0" w:firstLine="0" w:firstLineChars="0"/>
        <w:rPr>
          <w:rFonts w:ascii="宋体" w:hAnsi="宋体"/>
          <w:color w:val="000000"/>
          <w:sz w:val="24"/>
        </w:rPr>
      </w:pPr>
    </w:p>
    <w:p>
      <w:pPr>
        <w:pStyle w:val="2"/>
        <w:ind w:left="0" w:leftChars="0" w:firstLine="0" w:firstLineChars="0"/>
        <w:rPr>
          <w:rFonts w:ascii="宋体" w:hAnsi="宋体"/>
          <w:color w:val="000000"/>
          <w:sz w:val="24"/>
        </w:rPr>
      </w:pPr>
    </w:p>
    <w:p>
      <w:pPr>
        <w:pStyle w:val="2"/>
        <w:ind w:left="0" w:leftChars="0" w:firstLine="0" w:firstLineChars="0"/>
        <w:rPr>
          <w:rFonts w:hint="eastAsia" w:ascii="宋体" w:hAnsi="宋体"/>
          <w:color w:val="000000"/>
          <w:sz w:val="24"/>
        </w:rPr>
      </w:pPr>
    </w:p>
    <w:tbl>
      <w:tblPr>
        <w:tblStyle w:val="10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1"/>
        <w:gridCol w:w="560"/>
        <w:gridCol w:w="645"/>
        <w:gridCol w:w="1609"/>
        <w:gridCol w:w="1255"/>
        <w:gridCol w:w="994"/>
        <w:gridCol w:w="1015"/>
        <w:gridCol w:w="1217"/>
        <w:gridCol w:w="63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5000" w:type="pct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金宸美筑2、5、13#楼住宅定价汇总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3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3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楼幢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总套数</w:t>
            </w:r>
          </w:p>
        </w:tc>
        <w:tc>
          <w:tcPr>
            <w:tcW w:w="9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预测建筑面积（㎡）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套内面积（㎡）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公摊面积（㎡）</w:t>
            </w:r>
          </w:p>
        </w:tc>
        <w:tc>
          <w:tcPr>
            <w:tcW w:w="6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预售申报单价（元/㎡）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预售申报总价（元）</w:t>
            </w:r>
          </w:p>
        </w:tc>
        <w:tc>
          <w:tcPr>
            <w:tcW w:w="3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3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</w:t>
            </w:r>
          </w:p>
        </w:tc>
        <w:tc>
          <w:tcPr>
            <w:tcW w:w="9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8476.93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7341.36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1135.57</w:t>
            </w:r>
          </w:p>
        </w:tc>
        <w:tc>
          <w:tcPr>
            <w:tcW w:w="600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21006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178063903</w:t>
            </w:r>
          </w:p>
        </w:tc>
        <w:tc>
          <w:tcPr>
            <w:tcW w:w="3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3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3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</w:t>
            </w:r>
          </w:p>
        </w:tc>
        <w:tc>
          <w:tcPr>
            <w:tcW w:w="9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6541.3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5457.9</w:t>
            </w:r>
          </w:p>
        </w:tc>
        <w:tc>
          <w:tcPr>
            <w:tcW w:w="543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1083.4</w:t>
            </w:r>
          </w:p>
        </w:tc>
        <w:tc>
          <w:tcPr>
            <w:tcW w:w="600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20738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135653397</w:t>
            </w:r>
          </w:p>
        </w:tc>
        <w:tc>
          <w:tcPr>
            <w:tcW w:w="3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3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3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</w:t>
            </w:r>
          </w:p>
        </w:tc>
        <w:tc>
          <w:tcPr>
            <w:tcW w:w="9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5706.8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4724.4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982.4</w:t>
            </w:r>
          </w:p>
        </w:tc>
        <w:tc>
          <w:tcPr>
            <w:tcW w:w="600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20712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118198174</w:t>
            </w:r>
          </w:p>
        </w:tc>
        <w:tc>
          <w:tcPr>
            <w:tcW w:w="3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86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合计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186</w:t>
            </w:r>
          </w:p>
        </w:tc>
        <w:tc>
          <w:tcPr>
            <w:tcW w:w="9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20725.03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17523.66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3201.37</w:t>
            </w:r>
          </w:p>
        </w:tc>
        <w:tc>
          <w:tcPr>
            <w:tcW w:w="600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20840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431915474</w:t>
            </w:r>
          </w:p>
        </w:tc>
        <w:tc>
          <w:tcPr>
            <w:tcW w:w="3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pStyle w:val="2"/>
        <w:ind w:left="0" w:leftChars="0" w:firstLine="0" w:firstLineChars="0"/>
        <w:rPr>
          <w:rFonts w:ascii="宋体" w:hAnsi="宋体"/>
          <w:color w:val="000000"/>
          <w:sz w:val="24"/>
        </w:rPr>
      </w:pPr>
    </w:p>
    <w:p>
      <w:pPr>
        <w:pStyle w:val="2"/>
        <w:ind w:left="0" w:leftChars="0" w:firstLine="0" w:firstLineChars="0"/>
        <w:rPr>
          <w:rFonts w:ascii="宋体" w:hAnsi="宋体"/>
          <w:color w:val="000000"/>
          <w:sz w:val="24"/>
        </w:rPr>
      </w:pPr>
    </w:p>
    <w:p>
      <w:pPr>
        <w:spacing w:line="360" w:lineRule="auto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2、价格变动幅度</w:t>
      </w:r>
    </w:p>
    <w:p>
      <w:pPr>
        <w:spacing w:line="360" w:lineRule="auto"/>
        <w:ind w:firstLine="570"/>
        <w:rPr>
          <w:rFonts w:ascii="宋体" w:hAnsi="宋体" w:eastAsia="宋体"/>
          <w:color w:val="000000"/>
          <w:sz w:val="24"/>
        </w:rPr>
      </w:pPr>
      <w:bookmarkStart w:id="0" w:name="OLE_LINK1"/>
      <w:r>
        <w:rPr>
          <w:rFonts w:hint="eastAsia" w:ascii="宋体" w:hAnsi="宋体" w:eastAsia="宋体"/>
          <w:color w:val="000000"/>
          <w:sz w:val="24"/>
        </w:rPr>
        <w:t>金宸美筑</w:t>
      </w:r>
      <w:r>
        <w:rPr>
          <w:rFonts w:ascii="宋体" w:hAnsi="宋体" w:eastAsia="宋体"/>
          <w:color w:val="000000"/>
          <w:sz w:val="24"/>
        </w:rPr>
        <w:t>2</w:t>
      </w:r>
      <w:r>
        <w:rPr>
          <w:rFonts w:hint="eastAsia" w:ascii="宋体" w:hAnsi="宋体" w:eastAsia="宋体"/>
          <w:color w:val="000000"/>
          <w:sz w:val="24"/>
        </w:rPr>
        <w:t>#、</w:t>
      </w:r>
      <w:r>
        <w:rPr>
          <w:rFonts w:ascii="宋体" w:hAnsi="宋体" w:eastAsia="宋体"/>
          <w:color w:val="000000"/>
          <w:sz w:val="24"/>
        </w:rPr>
        <w:t>5</w:t>
      </w:r>
      <w:r>
        <w:rPr>
          <w:rFonts w:hint="eastAsia" w:ascii="宋体" w:hAnsi="宋体" w:eastAsia="宋体"/>
          <w:color w:val="000000"/>
          <w:sz w:val="24"/>
        </w:rPr>
        <w:t>#、</w:t>
      </w:r>
      <w:r>
        <w:rPr>
          <w:rFonts w:ascii="宋体" w:hAnsi="宋体" w:eastAsia="宋体"/>
          <w:color w:val="000000"/>
          <w:sz w:val="24"/>
        </w:rPr>
        <w:t>13</w:t>
      </w:r>
      <w:r>
        <w:rPr>
          <w:rFonts w:hint="eastAsia" w:ascii="宋体" w:hAnsi="宋体" w:eastAsia="宋体"/>
          <w:color w:val="000000"/>
          <w:sz w:val="24"/>
        </w:rPr>
        <w:t>#楼</w:t>
      </w:r>
      <w:bookmarkEnd w:id="0"/>
      <w:r>
        <w:rPr>
          <w:rFonts w:ascii="宋体" w:hAnsi="宋体" w:eastAsia="宋体" w:cs="宋体"/>
          <w:color w:val="000000"/>
          <w:sz w:val="24"/>
        </w:rPr>
        <w:t>商品住宅实际销售价格不高于预售申报价，可低于预售申报备案价格，但幅度不超过10%。</w:t>
      </w:r>
    </w:p>
    <w:p>
      <w:pPr>
        <w:pStyle w:val="2"/>
        <w:rPr>
          <w:rFonts w:ascii="宋体" w:hAnsi="宋体"/>
        </w:rPr>
      </w:pPr>
    </w:p>
    <w:p>
      <w:pPr>
        <w:spacing w:line="360" w:lineRule="auto"/>
        <w:rPr>
          <w:rFonts w:ascii="宋体" w:hAnsi="宋体" w:eastAsia="宋体"/>
          <w:b/>
          <w:color w:val="000000"/>
          <w:sz w:val="24"/>
        </w:rPr>
      </w:pPr>
      <w:r>
        <w:rPr>
          <w:rFonts w:hint="eastAsia" w:ascii="宋体" w:hAnsi="宋体" w:eastAsia="宋体"/>
          <w:b/>
          <w:color w:val="000000"/>
          <w:sz w:val="24"/>
        </w:rPr>
        <w:t>七、销售计划与销售方式</w:t>
      </w:r>
      <w:bookmarkStart w:id="1" w:name="_GoBack"/>
      <w:bookmarkEnd w:id="1"/>
    </w:p>
    <w:p>
      <w:pPr>
        <w:spacing w:line="360" w:lineRule="auto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b/>
          <w:color w:val="000000"/>
          <w:sz w:val="24"/>
        </w:rPr>
        <w:t>开盘时间</w:t>
      </w:r>
      <w:r>
        <w:rPr>
          <w:rFonts w:hint="eastAsia" w:ascii="宋体" w:hAnsi="宋体" w:eastAsia="宋体"/>
          <w:color w:val="000000"/>
          <w:sz w:val="24"/>
        </w:rPr>
        <w:t>：暂定</w:t>
      </w:r>
      <w:r>
        <w:rPr>
          <w:rFonts w:hint="eastAsia" w:ascii="宋体" w:hAnsi="宋体" w:eastAsia="宋体"/>
          <w:color w:val="000000"/>
          <w:sz w:val="24"/>
          <w:u w:val="single"/>
        </w:rPr>
        <w:t xml:space="preserve"> 202</w:t>
      </w:r>
      <w:r>
        <w:rPr>
          <w:rFonts w:ascii="宋体" w:hAnsi="宋体" w:eastAsia="宋体"/>
          <w:color w:val="000000"/>
          <w:sz w:val="24"/>
          <w:u w:val="single"/>
        </w:rPr>
        <w:t>3</w:t>
      </w:r>
      <w:r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22</w:t>
      </w:r>
      <w:r>
        <w:rPr>
          <w:rFonts w:hint="eastAsia" w:ascii="宋体" w:hAnsi="宋体" w:eastAsia="宋体"/>
          <w:color w:val="000000"/>
          <w:sz w:val="24"/>
        </w:rPr>
        <w:t>日</w:t>
      </w:r>
    </w:p>
    <w:p>
      <w:pPr>
        <w:spacing w:line="360" w:lineRule="auto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b/>
          <w:color w:val="000000"/>
          <w:sz w:val="24"/>
        </w:rPr>
        <w:t>开盘地点</w:t>
      </w:r>
      <w:r>
        <w:rPr>
          <w:rFonts w:hint="eastAsia" w:ascii="宋体" w:hAnsi="宋体" w:eastAsia="宋体"/>
          <w:color w:val="000000"/>
          <w:sz w:val="24"/>
        </w:rPr>
        <w:t>：</w:t>
      </w:r>
      <w:r>
        <w:rPr>
          <w:rFonts w:hint="eastAsia" w:ascii="宋体" w:hAnsi="宋体" w:eastAsia="宋体"/>
          <w:color w:val="000000"/>
          <w:sz w:val="24"/>
          <w:u w:val="single"/>
        </w:rPr>
        <w:t>金宸美筑售楼部内</w:t>
      </w:r>
    </w:p>
    <w:p>
      <w:pPr>
        <w:spacing w:line="360" w:lineRule="auto"/>
        <w:ind w:firstLine="240" w:firstLineChars="100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1、销售计划</w:t>
      </w:r>
    </w:p>
    <w:p>
      <w:pPr>
        <w:spacing w:line="360" w:lineRule="auto"/>
        <w:ind w:firstLine="480" w:firstLineChars="200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本次计划销售房源位于项目地块位于衢州市智慧新城钱江大道以南，黄山大道以东，常山路以西、智造路南北两侧。申请预售的金宸美筑</w:t>
      </w:r>
      <w:r>
        <w:rPr>
          <w:rFonts w:ascii="宋体" w:hAnsi="宋体" w:eastAsia="宋体"/>
          <w:color w:val="000000"/>
          <w:sz w:val="24"/>
        </w:rPr>
        <w:t>2</w:t>
      </w:r>
      <w:r>
        <w:rPr>
          <w:rFonts w:hint="eastAsia" w:ascii="宋体" w:hAnsi="宋体" w:eastAsia="宋体"/>
          <w:color w:val="000000"/>
          <w:sz w:val="24"/>
        </w:rPr>
        <w:t>#、</w:t>
      </w:r>
      <w:r>
        <w:rPr>
          <w:rFonts w:ascii="宋体" w:hAnsi="宋体" w:eastAsia="宋体"/>
          <w:color w:val="000000"/>
          <w:sz w:val="24"/>
        </w:rPr>
        <w:t>5</w:t>
      </w:r>
      <w:r>
        <w:rPr>
          <w:rFonts w:hint="eastAsia" w:ascii="宋体" w:hAnsi="宋体" w:eastAsia="宋体"/>
          <w:color w:val="000000"/>
          <w:sz w:val="24"/>
        </w:rPr>
        <w:t>#、</w:t>
      </w:r>
      <w:r>
        <w:rPr>
          <w:rFonts w:ascii="宋体" w:hAnsi="宋体" w:eastAsia="宋体"/>
          <w:color w:val="000000"/>
          <w:sz w:val="24"/>
        </w:rPr>
        <w:t>13</w:t>
      </w:r>
      <w:r>
        <w:rPr>
          <w:rFonts w:hint="eastAsia" w:ascii="宋体" w:hAnsi="宋体" w:eastAsia="宋体"/>
          <w:color w:val="000000"/>
          <w:sz w:val="24"/>
        </w:rPr>
        <w:t>#楼为10层、11层住宅，合计面积</w:t>
      </w:r>
      <w:r>
        <w:rPr>
          <w:rFonts w:ascii="宋体" w:hAnsi="宋体" w:eastAsia="宋体"/>
          <w:color w:val="000000"/>
          <w:sz w:val="24"/>
        </w:rPr>
        <w:t>20725.03</w:t>
      </w:r>
      <w:r>
        <w:rPr>
          <w:rFonts w:hint="eastAsia" w:ascii="宋体" w:hAnsi="宋体" w:eastAsia="宋体"/>
          <w:color w:val="000000"/>
          <w:sz w:val="24"/>
        </w:rPr>
        <w:t>㎡，共计186套。</w:t>
      </w:r>
    </w:p>
    <w:p>
      <w:pPr>
        <w:spacing w:line="360" w:lineRule="auto"/>
        <w:ind w:firstLine="480" w:firstLineChars="200"/>
        <w:rPr>
          <w:rFonts w:ascii="宋体" w:hAnsi="宋体" w:eastAsia="宋体"/>
          <w:color w:val="000000"/>
          <w:sz w:val="24"/>
        </w:rPr>
      </w:pPr>
    </w:p>
    <w:p>
      <w:pPr>
        <w:numPr>
          <w:ilvl w:val="0"/>
          <w:numId w:val="4"/>
        </w:numPr>
        <w:spacing w:line="360" w:lineRule="auto"/>
        <w:ind w:firstLine="240" w:firstLineChars="100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本次预售房源由衢州市慧城星展房地产开发有限公司销售，我公司在《商品房预售许可证》取得后，正式销售时间暂定为202</w:t>
      </w:r>
      <w:r>
        <w:rPr>
          <w:rFonts w:ascii="宋体" w:hAnsi="宋体" w:eastAsia="宋体"/>
          <w:color w:val="000000"/>
          <w:sz w:val="24"/>
        </w:rPr>
        <w:t>3</w:t>
      </w:r>
      <w:r>
        <w:rPr>
          <w:rFonts w:hint="eastAsia" w:ascii="宋体" w:hAnsi="宋体" w:eastAsia="宋体"/>
          <w:color w:val="000000"/>
          <w:sz w:val="24"/>
        </w:rPr>
        <w:t>年</w:t>
      </w:r>
      <w:r>
        <w:rPr>
          <w:rFonts w:hint="eastAsia" w:ascii="宋体" w:hAnsi="宋体" w:eastAsia="宋体"/>
          <w:color w:val="000000"/>
          <w:sz w:val="24"/>
          <w:lang w:val="en-US" w:eastAsia="zh-CN"/>
        </w:rPr>
        <w:t>7</w:t>
      </w:r>
      <w:r>
        <w:rPr>
          <w:rFonts w:hint="eastAsia" w:ascii="宋体" w:hAnsi="宋体" w:eastAsia="宋体"/>
          <w:color w:val="000000"/>
          <w:sz w:val="24"/>
        </w:rPr>
        <w:t>月</w:t>
      </w:r>
      <w:r>
        <w:rPr>
          <w:rFonts w:hint="eastAsia" w:ascii="宋体" w:hAnsi="宋体" w:eastAsia="宋体"/>
          <w:color w:val="000000"/>
          <w:sz w:val="24"/>
          <w:lang w:val="en-US" w:eastAsia="zh-CN"/>
        </w:rPr>
        <w:t>22</w:t>
      </w:r>
      <w:r>
        <w:rPr>
          <w:rFonts w:hint="eastAsia" w:ascii="宋体" w:hAnsi="宋体" w:eastAsia="宋体"/>
          <w:color w:val="000000"/>
          <w:sz w:val="24"/>
          <w:highlight w:val="none"/>
        </w:rPr>
        <w:t>日</w:t>
      </w:r>
      <w:r>
        <w:rPr>
          <w:rFonts w:hint="eastAsia" w:ascii="宋体" w:hAnsi="宋体" w:eastAsia="宋体"/>
          <w:color w:val="000000"/>
          <w:sz w:val="24"/>
        </w:rPr>
        <w:t>，2#、5#、13#楼销售均价暂定</w:t>
      </w:r>
      <w:r>
        <w:rPr>
          <w:rFonts w:hint="eastAsia" w:ascii="宋体" w:hAnsi="宋体" w:eastAsia="宋体"/>
          <w:color w:val="000000"/>
          <w:sz w:val="24"/>
          <w:highlight w:val="none"/>
          <w:lang w:val="en-US" w:eastAsia="zh-CN"/>
        </w:rPr>
        <w:t>20840</w:t>
      </w:r>
      <w:r>
        <w:rPr>
          <w:rFonts w:hint="eastAsia" w:ascii="宋体" w:hAnsi="宋体" w:eastAsia="宋体"/>
          <w:color w:val="000000"/>
          <w:sz w:val="24"/>
        </w:rPr>
        <w:t>元/㎡，营业执照、资质证书、土地证、规划许可证、施工许可证等资料证件齐全。</w:t>
      </w:r>
    </w:p>
    <w:p>
      <w:pPr>
        <w:spacing w:line="360" w:lineRule="auto"/>
        <w:rPr>
          <w:rFonts w:ascii="宋体" w:hAnsi="宋体" w:eastAsia="宋体"/>
          <w:b/>
          <w:color w:val="000000"/>
          <w:sz w:val="24"/>
        </w:rPr>
      </w:pPr>
      <w:r>
        <w:rPr>
          <w:rFonts w:hint="eastAsia" w:ascii="宋体" w:hAnsi="宋体" w:eastAsia="宋体"/>
          <w:b/>
          <w:color w:val="000000"/>
          <w:sz w:val="24"/>
        </w:rPr>
        <w:t>八、预售资金监管落实情况</w:t>
      </w:r>
    </w:p>
    <w:p>
      <w:pPr>
        <w:spacing w:line="360" w:lineRule="auto"/>
        <w:ind w:firstLine="570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我公司开发的金宸美筑已与中国建设银行股份有限公司衢州分行、衢州市住房保障和房地产管理服务中心签定《衢州市商品房预售资金监管协议书》。账户名称：衢州市慧城星展房地产开发有限公司资金监管账户，账号：</w:t>
      </w:r>
      <w:r>
        <w:rPr>
          <w:rFonts w:ascii="宋体" w:hAnsi="宋体" w:eastAsia="宋体"/>
          <w:color w:val="000000"/>
          <w:sz w:val="24"/>
        </w:rPr>
        <w:t>33050168350009555666</w:t>
      </w:r>
      <w:r>
        <w:rPr>
          <w:rFonts w:hint="eastAsia" w:ascii="宋体" w:hAnsi="宋体" w:eastAsia="宋体"/>
          <w:color w:val="000000"/>
          <w:sz w:val="24"/>
        </w:rPr>
        <w:t>。</w:t>
      </w:r>
    </w:p>
    <w:p>
      <w:pPr>
        <w:spacing w:line="360" w:lineRule="auto"/>
        <w:rPr>
          <w:rFonts w:ascii="宋体" w:hAnsi="宋体" w:eastAsia="宋体"/>
          <w:b/>
          <w:color w:val="000000"/>
          <w:sz w:val="24"/>
        </w:rPr>
      </w:pPr>
    </w:p>
    <w:p>
      <w:pPr>
        <w:spacing w:line="360" w:lineRule="auto"/>
        <w:rPr>
          <w:rFonts w:ascii="宋体" w:hAnsi="宋体" w:eastAsia="宋体"/>
          <w:b/>
          <w:color w:val="000000"/>
          <w:sz w:val="24"/>
        </w:rPr>
      </w:pPr>
      <w:r>
        <w:rPr>
          <w:rFonts w:hint="eastAsia" w:ascii="宋体" w:hAnsi="宋体" w:eastAsia="宋体"/>
          <w:b/>
          <w:color w:val="000000"/>
          <w:sz w:val="24"/>
        </w:rPr>
        <w:t>九、商品房质量承担主体和承担方式</w:t>
      </w:r>
    </w:p>
    <w:p>
      <w:pPr>
        <w:spacing w:line="360" w:lineRule="auto"/>
        <w:ind w:firstLine="480" w:firstLineChars="200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按有关法律法规的规定，《商品房质量保证书》和《商品房使用说明书》也作为合同的附件。买受人应按《商品房使用说明书》正确使用，建设单位应按《商品房质量保证书》提供商品房质量保证和保修承诺。详见附件五。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商业楼房质量承担主体：衢州市慧城星展房地产开发有限公司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承担方式：公司以全部的资产对公司的债务承担责任。</w:t>
      </w:r>
    </w:p>
    <w:p>
      <w:pPr>
        <w:pStyle w:val="2"/>
        <w:rPr>
          <w:rFonts w:ascii="宋体" w:hAnsi="宋体"/>
        </w:rPr>
      </w:pPr>
    </w:p>
    <w:p>
      <w:pPr>
        <w:spacing w:line="360" w:lineRule="auto"/>
        <w:rPr>
          <w:rFonts w:ascii="宋体" w:hAnsi="宋体" w:eastAsia="宋体"/>
          <w:b/>
          <w:color w:val="000000"/>
          <w:sz w:val="24"/>
        </w:rPr>
      </w:pPr>
      <w:r>
        <w:rPr>
          <w:rFonts w:hint="eastAsia" w:ascii="宋体" w:hAnsi="宋体" w:eastAsia="宋体"/>
          <w:b/>
          <w:color w:val="000000"/>
          <w:sz w:val="24"/>
        </w:rPr>
        <w:t>十、住房节能措施</w:t>
      </w:r>
    </w:p>
    <w:p>
      <w:pPr>
        <w:spacing w:line="360" w:lineRule="auto"/>
        <w:ind w:firstLine="480" w:firstLineChars="200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符合节能设计规范的设计报告，设计图纸已通过图审机构审查（详见审查合格书）。</w:t>
      </w:r>
    </w:p>
    <w:p>
      <w:pPr>
        <w:pStyle w:val="2"/>
        <w:rPr>
          <w:rFonts w:ascii="宋体" w:hAnsi="宋体"/>
        </w:rPr>
      </w:pPr>
    </w:p>
    <w:p>
      <w:pPr>
        <w:spacing w:line="360" w:lineRule="auto"/>
        <w:rPr>
          <w:rFonts w:ascii="宋体" w:hAnsi="宋体" w:eastAsia="宋体"/>
          <w:b/>
          <w:color w:val="000000"/>
          <w:sz w:val="24"/>
        </w:rPr>
      </w:pPr>
      <w:r>
        <w:rPr>
          <w:rFonts w:hint="eastAsia" w:ascii="宋体" w:hAnsi="宋体" w:eastAsia="宋体"/>
          <w:b/>
          <w:color w:val="000000"/>
          <w:sz w:val="24"/>
        </w:rPr>
        <w:t>十一、销售部张贴的资料目录</w:t>
      </w:r>
    </w:p>
    <w:p>
      <w:pPr>
        <w:spacing w:line="360" w:lineRule="auto"/>
        <w:ind w:firstLine="480" w:firstLineChars="200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遵循公开、公平销售的原则，在金宸美筑楼盘销售时按规定张贴以下资料，即营业执照、资质证书、土地证、规划许可证、施工许可证、预售证、销控证、销售管理办法、销售程序等资料以及上级行政主管部门要求公开张贴的内容，让客户明明白白买房。</w:t>
      </w:r>
    </w:p>
    <w:p>
      <w:pPr>
        <w:pStyle w:val="2"/>
        <w:rPr>
          <w:rFonts w:ascii="宋体" w:hAnsi="宋体"/>
          <w:color w:val="000000"/>
        </w:rPr>
      </w:pPr>
    </w:p>
    <w:p>
      <w:pPr>
        <w:spacing w:line="360" w:lineRule="auto"/>
        <w:rPr>
          <w:rFonts w:ascii="宋体" w:hAnsi="宋体" w:eastAsia="宋体"/>
          <w:b/>
          <w:color w:val="000000"/>
          <w:sz w:val="24"/>
        </w:rPr>
      </w:pPr>
      <w:r>
        <w:rPr>
          <w:rFonts w:hint="eastAsia" w:ascii="宋体" w:hAnsi="宋体" w:eastAsia="宋体"/>
          <w:b/>
          <w:color w:val="000000"/>
          <w:sz w:val="24"/>
        </w:rPr>
        <w:t>十二、销售部规章制度</w:t>
      </w:r>
    </w:p>
    <w:p>
      <w:pPr>
        <w:numPr>
          <w:ilvl w:val="0"/>
          <w:numId w:val="5"/>
        </w:numPr>
        <w:spacing w:line="360" w:lineRule="auto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销售人员总则</w:t>
      </w:r>
    </w:p>
    <w:p>
      <w:pPr>
        <w:numPr>
          <w:ilvl w:val="0"/>
          <w:numId w:val="6"/>
        </w:numPr>
        <w:spacing w:line="360" w:lineRule="auto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信任并尊重每一个人</w:t>
      </w:r>
    </w:p>
    <w:p>
      <w:pPr>
        <w:numPr>
          <w:ilvl w:val="0"/>
          <w:numId w:val="6"/>
        </w:numPr>
        <w:spacing w:line="360" w:lineRule="auto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永不满足的挑战精神</w:t>
      </w:r>
    </w:p>
    <w:p>
      <w:pPr>
        <w:numPr>
          <w:ilvl w:val="0"/>
          <w:numId w:val="6"/>
        </w:numPr>
        <w:spacing w:line="360" w:lineRule="auto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共同发展  分享成功</w:t>
      </w:r>
    </w:p>
    <w:p>
      <w:pPr>
        <w:numPr>
          <w:ilvl w:val="0"/>
          <w:numId w:val="6"/>
        </w:numPr>
        <w:spacing w:line="360" w:lineRule="auto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创造奇迹的团队精神</w:t>
      </w:r>
    </w:p>
    <w:p>
      <w:pPr>
        <w:spacing w:line="360" w:lineRule="auto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（二）、仪容、仪表</w:t>
      </w:r>
    </w:p>
    <w:p>
      <w:pPr>
        <w:spacing w:line="360" w:lineRule="auto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1、员工上班一律着工作服、统一形象；保持衣冠、头发整洁；</w:t>
      </w:r>
    </w:p>
    <w:p>
      <w:pPr>
        <w:spacing w:line="360" w:lineRule="auto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2、员工淡妆上岗，打扮适度；</w:t>
      </w:r>
    </w:p>
    <w:p>
      <w:pPr>
        <w:spacing w:line="360" w:lineRule="auto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3、注意个人卫生，上岗前不得饮酒；</w:t>
      </w:r>
    </w:p>
    <w:p>
      <w:pPr>
        <w:spacing w:line="360" w:lineRule="auto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4、态度和蔼，不得面带倦意；</w:t>
      </w:r>
    </w:p>
    <w:p>
      <w:pPr>
        <w:spacing w:line="360" w:lineRule="auto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5、客户面前不得修指甲、剔牙、挖鼻子、挖耳朵、打饱嗝、伸懒腰、哼歌、化妆、抽烟。</w:t>
      </w:r>
    </w:p>
    <w:p>
      <w:pPr>
        <w:spacing w:line="360" w:lineRule="auto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（三）礼节礼貌</w:t>
      </w:r>
    </w:p>
    <w:p>
      <w:pPr>
        <w:spacing w:line="360" w:lineRule="auto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1、对待客户态度要自然、大方、热情、稳重、有礼，做到笑脸相迎，用好敬语。</w:t>
      </w:r>
    </w:p>
    <w:p>
      <w:pPr>
        <w:spacing w:line="360" w:lineRule="auto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2、常用礼貌用语，“您好”“请”“谢谢”“对不起”“不客气”。</w:t>
      </w:r>
    </w:p>
    <w:p>
      <w:pPr>
        <w:spacing w:line="360" w:lineRule="auto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3、与常人相遇时，要主动让路；与客人同行时，礼让客人先行。</w:t>
      </w:r>
    </w:p>
    <w:p>
      <w:pPr>
        <w:spacing w:line="360" w:lineRule="auto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4、对待客人时面带微笑，与客人谈话时应讲究礼貌，用心聆听，不抢话插话，争辩；批评时不辩解，冷静对待，及时上报；</w:t>
      </w:r>
    </w:p>
    <w:p>
      <w:pPr>
        <w:spacing w:line="360" w:lineRule="auto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5、不得以生硬、冷淡的态度待客；</w:t>
      </w:r>
    </w:p>
    <w:p>
      <w:pPr>
        <w:spacing w:line="360" w:lineRule="auto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6、电话铃响三声内电话，接电话时用礼貌用语。</w:t>
      </w:r>
    </w:p>
    <w:p>
      <w:pPr>
        <w:spacing w:line="360" w:lineRule="auto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（四）上下班管理规定</w:t>
      </w:r>
    </w:p>
    <w:p>
      <w:pPr>
        <w:spacing w:line="360" w:lineRule="auto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1、员工必须按时上下班；不许迟到早退；不许旷工；</w:t>
      </w:r>
    </w:p>
    <w:p>
      <w:pPr>
        <w:spacing w:line="360" w:lineRule="auto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2、工作时间必须佩带胸卡；</w:t>
      </w:r>
    </w:p>
    <w:p>
      <w:pPr>
        <w:spacing w:line="360" w:lineRule="auto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3、工作时间坚守岗位，不得做与工作无关的事；</w:t>
      </w:r>
    </w:p>
    <w:p>
      <w:pPr>
        <w:spacing w:line="360" w:lineRule="auto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4、不许在销售大厅内化妆；工作时间内，不许在岗位上吃东西；</w:t>
      </w:r>
    </w:p>
    <w:p>
      <w:pPr>
        <w:spacing w:line="360" w:lineRule="auto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5、不许在销售大厅内聊天、看书、看报、睡觉；</w:t>
      </w:r>
    </w:p>
    <w:p>
      <w:pPr>
        <w:spacing w:line="360" w:lineRule="auto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6、不许故意损坏公物；不许乱放或丢失销售手册；</w:t>
      </w:r>
    </w:p>
    <w:p>
      <w:pPr>
        <w:spacing w:line="360" w:lineRule="auto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7、不许违反公司部门规定的工作程序或规章制度；</w:t>
      </w:r>
    </w:p>
    <w:p>
      <w:pPr>
        <w:spacing w:line="360" w:lineRule="auto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8、工作时间同内，不许长时间打私人电话（3分钟）；</w:t>
      </w:r>
    </w:p>
    <w:p>
      <w:pPr>
        <w:spacing w:line="360" w:lineRule="auto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9、未经经理批准，不许私自脱岗，私自外出，不许私自换班；</w:t>
      </w:r>
    </w:p>
    <w:p>
      <w:pPr>
        <w:spacing w:line="360" w:lineRule="auto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10、工作桌面不许乱堆乱放私人物品或公司文件、资料；</w:t>
      </w:r>
    </w:p>
    <w:p>
      <w:pPr>
        <w:spacing w:line="360" w:lineRule="auto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11、未经经理批准，不许到其他部门串岗，干扰其他同事工作；</w:t>
      </w:r>
    </w:p>
    <w:p>
      <w:pPr>
        <w:spacing w:line="360" w:lineRule="auto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12、未经经理批准，不许私自向客户或他人提供公司文件及资料；</w:t>
      </w:r>
    </w:p>
    <w:p>
      <w:pPr>
        <w:spacing w:line="360" w:lineRule="auto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13、未经经理批准，不许私自收取客户保留金、定金等；</w:t>
      </w:r>
    </w:p>
    <w:p>
      <w:pPr>
        <w:spacing w:line="360" w:lineRule="auto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14、应自觉严格按工作程序处理业务，自觉遵守公司各项规章制度；</w:t>
      </w:r>
    </w:p>
    <w:p>
      <w:pPr>
        <w:spacing w:line="360" w:lineRule="auto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15、应尊重客户、领导、同事，自觉维护公司利益，严守公司秘密；</w:t>
      </w:r>
    </w:p>
    <w:p>
      <w:pPr>
        <w:spacing w:line="360" w:lineRule="auto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16、爱护、正确使用销售手册，工作时随身携带；</w:t>
      </w:r>
    </w:p>
    <w:p>
      <w:pPr>
        <w:spacing w:line="360" w:lineRule="auto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17、接待完客户，自觉清理水杯等杂物，以保持工作区清洁卫生；</w:t>
      </w:r>
    </w:p>
    <w:p>
      <w:pPr>
        <w:spacing w:line="360" w:lineRule="auto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18、服从指挥，遵守纪律，按时上下班，按公司规定着装，佩带名牌；</w:t>
      </w:r>
    </w:p>
    <w:p>
      <w:pPr>
        <w:spacing w:line="360" w:lineRule="auto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19、每天早签到人员应自觉清理工作区卫生；</w:t>
      </w:r>
    </w:p>
    <w:p>
      <w:pPr>
        <w:spacing w:line="360" w:lineRule="auto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20、严格执行电话、接待登记制度和日报制度。</w:t>
      </w:r>
    </w:p>
    <w:p>
      <w:pPr>
        <w:spacing w:line="360" w:lineRule="auto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（五）、销售人员对客户退房的处理</w:t>
      </w:r>
    </w:p>
    <w:p>
      <w:pPr>
        <w:spacing w:line="360" w:lineRule="auto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首付款已付清，合同交易完毕情况下的退房</w:t>
      </w:r>
    </w:p>
    <w:p>
      <w:pPr>
        <w:spacing w:line="360" w:lineRule="auto"/>
        <w:ind w:firstLine="360" w:firstLineChars="150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已签订合同的客户原则上不予退房，但因特殊原因退房的需经主管部门同意方可退房。</w:t>
      </w:r>
    </w:p>
    <w:p>
      <w:pPr>
        <w:spacing w:line="360" w:lineRule="auto"/>
        <w:ind w:firstLine="360" w:firstLineChars="150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经主管部门同意→领取退房申请单→填写退房申请单，由客户写明退房原因和签名，收回原定单→主管部门和公司领导签字后→报财务室处理（认购协议书上注明的退房客户需付违约金条款，按产生法律效力的规定条款执行）→报销售部取消销控。</w:t>
      </w:r>
    </w:p>
    <w:p>
      <w:pPr>
        <w:spacing w:line="360" w:lineRule="auto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（六）、销售人员对客户换房的处理</w:t>
      </w:r>
    </w:p>
    <w:p>
      <w:pPr>
        <w:spacing w:line="360" w:lineRule="auto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合同签订后换房</w:t>
      </w:r>
    </w:p>
    <w:p>
      <w:pPr>
        <w:spacing w:line="360" w:lineRule="auto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合同签订后的客户原则上不予换房，但因特殊原因换房的需经主管部门同意方可换房。</w:t>
      </w:r>
    </w:p>
    <w:p>
      <w:pPr>
        <w:spacing w:line="360" w:lineRule="auto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特殊情况下需要换房的客户，按照相关换房程序执行，同时需要将第一套房先注销登记，再重新签订合同，重新交易。如果涉及相关费用，由客户自行负责。</w:t>
      </w:r>
    </w:p>
    <w:p>
      <w:pPr>
        <w:spacing w:line="360" w:lineRule="auto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（七）销售纠纷及突发事件的处理</w:t>
      </w:r>
    </w:p>
    <w:p>
      <w:pPr>
        <w:spacing w:line="360" w:lineRule="auto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1、在房屋销售过程中，如果客户提出无理要求，销售人员按照相关规定不能满足客户的情况下，客户继续取闹的，销售人员应当报请主管领导并说明情况，由主管领导出面与客户进行沟通，双方仍然不能达成协议的，遵循公开、公平的原则，按照相关法律法规解决双方分歧。</w:t>
      </w:r>
    </w:p>
    <w:p>
      <w:pPr>
        <w:spacing w:line="360" w:lineRule="auto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2、在开盘销售时，如遇客户人数较多的情况，销售部应当报请公司领导，安排保安协助维持现场秩序，保证销售工作的顺利进行。销售人员应当做好服务工作，如客户饮用水准备，休息座椅准备等，在夏季、冬季开启空调调节室内温度，为客户营造舒适的购房环境。</w:t>
      </w:r>
    </w:p>
    <w:p>
      <w:pPr>
        <w:spacing w:line="360" w:lineRule="auto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3、在开盘销售时，如果客户人数比较多，在安排保安维持秩序的同时，销售员要温馨提示客户注意销售部桌椅、模型等尖锐硬物，小心地滑等到，注意防范发生客户晕厥、摔伤、碰伤或发病等情况，特别是年纪较大的客户，销售部应当予以照顾。安排专人专车待命。在发生上述不测情况时，公司能够快速对应。</w:t>
      </w:r>
    </w:p>
    <w:p>
      <w:pPr>
        <w:spacing w:line="360" w:lineRule="auto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4、项目销售中心所在正对城市交通干道，客户开车来看房认购时，公司安排人员为客户服务，指挥客户停车，特别是在看房车辆较多的时候，更要保证城市道路的通畅，消除安全隐患。</w:t>
      </w:r>
    </w:p>
    <w:p>
      <w:pPr>
        <w:spacing w:line="360" w:lineRule="auto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3、销售执行方式。</w:t>
      </w:r>
    </w:p>
    <w:p>
      <w:pPr>
        <w:spacing w:line="360" w:lineRule="auto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（一）客户预约登记</w:t>
      </w:r>
    </w:p>
    <w:p>
      <w:pPr>
        <w:spacing w:line="360" w:lineRule="auto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（1）销售道具</w:t>
      </w:r>
    </w:p>
    <w:p>
      <w:pPr>
        <w:spacing w:line="360" w:lineRule="auto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效果图、宣传册、图文、电视、音响、多媒体等销售辅助。</w:t>
      </w:r>
    </w:p>
    <w:p>
      <w:pPr>
        <w:spacing w:line="360" w:lineRule="auto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（2）宣传推广</w:t>
      </w:r>
    </w:p>
    <w:p>
      <w:pPr>
        <w:spacing w:line="360" w:lineRule="auto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单张、折页等宣传资料发放，报纸、电视广告等。</w:t>
      </w:r>
    </w:p>
    <w:p>
      <w:pPr>
        <w:spacing w:line="360" w:lineRule="auto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（3）确定开盘销售时间。</w:t>
      </w:r>
    </w:p>
    <w:p>
      <w:pPr>
        <w:spacing w:line="360" w:lineRule="auto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（4）做好预约登记工作，注意和客户建立良好的沟通，收集客户的详细资料，如客户对房子的需求等。</w:t>
      </w:r>
    </w:p>
    <w:p>
      <w:pPr>
        <w:spacing w:line="360" w:lineRule="auto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（5）做好客户回访，保持和客户的联系，将工程进度、预计开盘时间信息等透露给客户。</w:t>
      </w:r>
    </w:p>
    <w:p>
      <w:pPr>
        <w:spacing w:line="360" w:lineRule="auto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（二）销售前的准备工作</w:t>
      </w:r>
    </w:p>
    <w:p>
      <w:pPr>
        <w:spacing w:line="360" w:lineRule="auto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（1）拟定销售培训计划，对销售人员进行培训工作。</w:t>
      </w:r>
    </w:p>
    <w:p>
      <w:pPr>
        <w:pStyle w:val="2"/>
        <w:ind w:left="0" w:leftChars="0" w:firstLine="0" w:firstLineChars="0"/>
        <w:rPr>
          <w:rFonts w:ascii="宋体" w:hAnsi="宋体"/>
          <w:color w:val="000000"/>
          <w:sz w:val="24"/>
        </w:rPr>
      </w:pPr>
      <w:r>
        <w:rPr>
          <w:rFonts w:hint="eastAsia" w:ascii="宋体" w:hAnsi="宋体"/>
          <w:color w:val="000000"/>
          <w:sz w:val="24"/>
        </w:rPr>
        <w:t>（2）与销售有关的相关法律文件齐全，即《国有土地使用证》、《建设用地规划许可证》、《商品房质量保证书》、《商品房使用说明书》。</w:t>
      </w:r>
    </w:p>
    <w:p>
      <w:pPr>
        <w:pStyle w:val="2"/>
        <w:ind w:left="0" w:leftChars="0" w:firstLine="0" w:firstLineChars="0"/>
        <w:rPr>
          <w:rFonts w:ascii="宋体" w:hAnsi="宋体"/>
          <w:color w:val="000000"/>
          <w:sz w:val="24"/>
        </w:rPr>
      </w:pPr>
      <w:r>
        <w:rPr>
          <w:rFonts w:hint="eastAsia" w:ascii="宋体" w:hAnsi="宋体"/>
          <w:color w:val="000000"/>
          <w:sz w:val="24"/>
        </w:rPr>
        <w:t>（3）编制销售管理制度、具体内容包括：销售价格、销售程序、销售形式、销售审批制度、统一销售说辞等。</w:t>
      </w:r>
    </w:p>
    <w:p>
      <w:pPr>
        <w:spacing w:line="360" w:lineRule="auto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（4）制定认购协议书、《商品房买卖合同》等相关合约样本，经审批后执行。</w:t>
      </w:r>
    </w:p>
    <w:p>
      <w:pPr>
        <w:spacing w:line="360" w:lineRule="auto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（5）正式销售前会同财务部落实房款收缴、银行按揭等事项，正式销售时由财务部委派财务人员到现场监督。</w:t>
      </w:r>
    </w:p>
    <w:p>
      <w:pPr>
        <w:spacing w:line="360" w:lineRule="auto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（6）确定正式销售时的人员分配，培训上岗并做好工作时间安排。</w:t>
      </w:r>
    </w:p>
    <w:p>
      <w:pPr>
        <w:pStyle w:val="2"/>
        <w:ind w:left="0" w:leftChars="0" w:firstLine="0" w:firstLineChars="0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  <w:sz w:val="24"/>
        </w:rPr>
        <w:t>（7）销售工具的准备：个人名片、图纸、各类政策文件、客户登记表、认购协议书或合同文本等。</w:t>
      </w:r>
    </w:p>
    <w:p>
      <w:pPr>
        <w:pStyle w:val="2"/>
        <w:ind w:left="0" w:leftChars="0" w:firstLine="0" w:firstLineChars="0"/>
        <w:rPr>
          <w:rFonts w:ascii="宋体" w:hAnsi="宋体"/>
          <w:color w:val="000000"/>
          <w:sz w:val="24"/>
        </w:rPr>
      </w:pPr>
      <w:r>
        <w:rPr>
          <w:rFonts w:hint="eastAsia" w:ascii="宋体" w:hAnsi="宋体"/>
          <w:color w:val="000000"/>
          <w:sz w:val="24"/>
        </w:rPr>
        <w:t>（8）正式销售前把预约客户的资料进行整理，按时间先后和意向程度进行口头、电话或短信通知。</w:t>
      </w:r>
    </w:p>
    <w:p>
      <w:pPr>
        <w:spacing w:line="360" w:lineRule="auto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（三）开盘销售时间的工作注意点</w:t>
      </w:r>
    </w:p>
    <w:p>
      <w:pPr>
        <w:spacing w:line="360" w:lineRule="auto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（1）指定人员保管事先准备的相关销售文件，如：预售许可证、</w:t>
      </w:r>
      <w:r>
        <w:rPr>
          <w:rFonts w:hint="eastAsia" w:ascii="宋体" w:hAnsi="宋体" w:eastAsia="宋体"/>
          <w:color w:val="000000"/>
          <w:sz w:val="24"/>
          <w:lang w:val="en-US" w:eastAsia="zh-CN"/>
        </w:rPr>
        <w:t>贷</w:t>
      </w:r>
      <w:r>
        <w:rPr>
          <w:rFonts w:hint="eastAsia" w:ascii="宋体" w:hAnsi="宋体" w:eastAsia="宋体"/>
          <w:color w:val="000000"/>
          <w:sz w:val="24"/>
        </w:rPr>
        <w:t>款流程与说明等，存放于固定文件夹内以便于查找，各类文件应准备充分、齐备。</w:t>
      </w:r>
    </w:p>
    <w:p>
      <w:pPr>
        <w:spacing w:line="360" w:lineRule="auto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（2）销售资料：折页、单页、价格表、付款方式计算单等需提前准备、整齐排放在销售总台，防止出现供应不足及人为损坏。</w:t>
      </w:r>
    </w:p>
    <w:p>
      <w:pPr>
        <w:spacing w:line="360" w:lineRule="auto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（3）指定人员将各类正式文件、资料以及各项销售统计资料专门负责分类存档保管，防止遗失或缺损，以便查有实据。</w:t>
      </w:r>
    </w:p>
    <w:p>
      <w:pPr>
        <w:spacing w:line="360" w:lineRule="auto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（4）销售部现场布置、公共用品（如：饮水机、空调、洽谈桌椅等）要及时维护与清洁，为客户提供服务。</w:t>
      </w:r>
    </w:p>
    <w:p>
      <w:pPr>
        <w:spacing w:line="360" w:lineRule="auto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（四）销售流程及工作注意点</w:t>
      </w:r>
    </w:p>
    <w:p>
      <w:pPr>
        <w:pStyle w:val="2"/>
        <w:ind w:left="0" w:leftChars="0" w:firstLine="0" w:firstLineChars="0"/>
        <w:rPr>
          <w:rFonts w:ascii="宋体" w:hAnsi="宋体"/>
          <w:color w:val="000000"/>
          <w:sz w:val="24"/>
        </w:rPr>
      </w:pPr>
      <w:r>
        <w:rPr>
          <w:rFonts w:hint="eastAsia" w:ascii="宋体" w:hAnsi="宋体"/>
          <w:color w:val="000000"/>
          <w:sz w:val="24"/>
        </w:rPr>
        <w:t>接听电话→迎接客户→介绍产品→引导客户入座洽谈→带看现场→填写客户资料表→成交收定→签订认购协议书→签订合同</w:t>
      </w:r>
    </w:p>
    <w:p>
      <w:pPr>
        <w:spacing w:line="360" w:lineRule="auto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（五）接听电话</w:t>
      </w:r>
    </w:p>
    <w:p>
      <w:pPr>
        <w:spacing w:line="360" w:lineRule="auto"/>
        <w:ind w:firstLine="480" w:firstLineChars="200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要求：态度和蔼、语言亲切；耐心回答客户的各种问题；接完电话，将来电客户的信息记录在客户来电登记表上。</w:t>
      </w:r>
    </w:p>
    <w:p>
      <w:pPr>
        <w:spacing w:line="360" w:lineRule="auto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（六）迎接客户</w:t>
      </w:r>
    </w:p>
    <w:p>
      <w:pPr>
        <w:spacing w:line="360" w:lineRule="auto"/>
        <w:ind w:firstLine="480" w:firstLineChars="200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要求：主动招呼，热情接待；帮助客户收拾雨具、放置衣帽等，没有客户时，应注意现场整洁和仪表，维护自身形象。</w:t>
      </w:r>
    </w:p>
    <w:p>
      <w:pPr>
        <w:spacing w:line="360" w:lineRule="auto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（七）介绍产品</w:t>
      </w:r>
    </w:p>
    <w:p>
      <w:pPr>
        <w:spacing w:line="360" w:lineRule="auto"/>
        <w:ind w:firstLine="480" w:firstLineChars="200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要求：递交名片，相互介绍，了解客户个人信息情况。配合现场销售道具，正确介绍项目产品，了解客户的真正需求，有针对实事求是的介绍。</w:t>
      </w:r>
    </w:p>
    <w:p>
      <w:pPr>
        <w:spacing w:line="360" w:lineRule="auto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（八）引导客户入座洽谈</w:t>
      </w:r>
    </w:p>
    <w:p>
      <w:pPr>
        <w:spacing w:line="360" w:lineRule="auto"/>
        <w:ind w:firstLine="480" w:firstLineChars="200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要求：热情大方，引导客户入座，根据客户要求，疑惑点进行解释，帮助客户做好置业参谋。</w:t>
      </w:r>
    </w:p>
    <w:p>
      <w:pPr>
        <w:spacing w:line="360" w:lineRule="auto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带客户现场参观</w:t>
      </w:r>
    </w:p>
    <w:p>
      <w:pPr>
        <w:spacing w:line="360" w:lineRule="auto"/>
        <w:ind w:firstLine="480" w:firstLineChars="200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要求：结合现场状况及周边环境，事先规划好路线，嘱咐客户戴好安全帽，注意安全；结合实际，让客户切实感受自己所选的户型和小区的优越感。</w:t>
      </w:r>
    </w:p>
    <w:p>
      <w:pPr>
        <w:spacing w:line="360" w:lineRule="auto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（九）填写客户资料表</w:t>
      </w:r>
    </w:p>
    <w:p>
      <w:pPr>
        <w:spacing w:line="360" w:lineRule="auto"/>
        <w:ind w:firstLine="570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要求：不论成交与否，都应填写客户资料表，以便以客户提供后续回访与服务。客户资料应越详细越好，妥善保管。</w:t>
      </w:r>
    </w:p>
    <w:p>
      <w:pPr>
        <w:spacing w:line="360" w:lineRule="auto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（十）成交收定</w:t>
      </w:r>
    </w:p>
    <w:p>
      <w:pPr>
        <w:spacing w:line="360" w:lineRule="auto"/>
        <w:ind w:firstLine="570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要求：直接交足定金情况下：核对销控，确认可以销售→填写认购协议书→核对房号、面积、销售、总价→财务部门出示收据给客户→三联式认购协议书给客户一份，上报财务一份，最后交由销售部备案一份→告知客户下次交首付款和签合同时间连同认购协议书一起带回。</w:t>
      </w:r>
    </w:p>
    <w:p>
      <w:pPr>
        <w:spacing w:line="360" w:lineRule="auto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（十一）签订合同要求：</w:t>
      </w:r>
    </w:p>
    <w:p>
      <w:pPr>
        <w:spacing w:line="360" w:lineRule="auto"/>
        <w:ind w:firstLine="570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A、签订前两天电话联系客户，确认正确时间并提醒客户携带身份证和首付金额前来办理手续。</w:t>
      </w:r>
    </w:p>
    <w:p>
      <w:pPr>
        <w:spacing w:line="360" w:lineRule="auto"/>
        <w:ind w:firstLine="570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B、按照约定时间与客户签订购户合同。领取合同附件资料包并签署→编辑网签合同→上传合同图并保存合同→客户刷卡/转账至对应监管户子账户→提交合同盖章并签名→上传首付支付凭证并转出→房管审核→打印合同并在档案袋封面填妥基本资料后存档。</w:t>
      </w:r>
    </w:p>
    <w:p>
      <w:pPr>
        <w:spacing w:line="360" w:lineRule="auto"/>
        <w:ind w:firstLine="570"/>
        <w:rPr>
          <w:rFonts w:ascii="宋体" w:hAnsi="宋体" w:eastAsia="宋体"/>
          <w:color w:val="000000"/>
          <w:sz w:val="24"/>
        </w:rPr>
      </w:pPr>
      <w:r>
        <w:rPr>
          <w:rFonts w:ascii="宋体" w:hAnsi="宋体" w:eastAsia="宋体"/>
          <w:color w:val="000000"/>
          <w:sz w:val="24"/>
        </w:rPr>
        <w:t>C</w:t>
      </w:r>
      <w:r>
        <w:rPr>
          <w:rFonts w:hint="eastAsia" w:ascii="宋体" w:hAnsi="宋体" w:eastAsia="宋体"/>
          <w:color w:val="000000"/>
          <w:sz w:val="24"/>
        </w:rPr>
        <w:t>、签约过程中要收回原认购协议书。</w:t>
      </w:r>
    </w:p>
    <w:p>
      <w:pPr>
        <w:spacing w:line="360" w:lineRule="auto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（十二）客户认购程序</w:t>
      </w:r>
    </w:p>
    <w:p>
      <w:pPr>
        <w:spacing w:line="360" w:lineRule="auto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（1）入场→查看销控表、图纸→销控区选房确定房号、车位号→签约区填写认购协议书→到审核区（财务处审核认购协议书并收取认购定金）→财务处开收据、盖章→出场</w:t>
      </w:r>
    </w:p>
    <w:p>
      <w:pPr>
        <w:spacing w:line="360" w:lineRule="auto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（2）销售员服务程序</w:t>
      </w:r>
    </w:p>
    <w:p>
      <w:pPr>
        <w:spacing w:line="360" w:lineRule="auto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陪客户选择房号→报现场销控→填写认购协议书→交财务处审核→客户交认购金→财务开收据盖章→引导客户出场。</w:t>
      </w:r>
    </w:p>
    <w:p>
      <w:pPr>
        <w:spacing w:line="360" w:lineRule="auto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（六）人员安排及职责</w:t>
      </w:r>
    </w:p>
    <w:p>
      <w:pPr>
        <w:spacing w:line="360" w:lineRule="auto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（1）销售经理：1名</w:t>
      </w:r>
    </w:p>
    <w:p>
      <w:pPr>
        <w:spacing w:line="360" w:lineRule="auto"/>
        <w:ind w:firstLine="570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职责：开盘日销售现场整体控制，人员调度及处理突发事件</w:t>
      </w:r>
    </w:p>
    <w:p>
      <w:pPr>
        <w:spacing w:line="360" w:lineRule="auto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（2）现场销售：销售部</w:t>
      </w:r>
      <w:r>
        <w:rPr>
          <w:rFonts w:ascii="宋体" w:hAnsi="宋体" w:eastAsia="宋体"/>
          <w:color w:val="000000"/>
          <w:sz w:val="24"/>
        </w:rPr>
        <w:t>15</w:t>
      </w:r>
      <w:r>
        <w:rPr>
          <w:rFonts w:hint="eastAsia" w:ascii="宋体" w:hAnsi="宋体" w:eastAsia="宋体"/>
          <w:color w:val="000000"/>
          <w:sz w:val="24"/>
        </w:rPr>
        <w:t>人</w:t>
      </w:r>
    </w:p>
    <w:p>
      <w:pPr>
        <w:spacing w:line="360" w:lineRule="auto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职责：协助客户选房，客户选好房后发给客户房号。</w:t>
      </w:r>
    </w:p>
    <w:p>
      <w:pPr>
        <w:spacing w:line="360" w:lineRule="auto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（3）销售签单组：</w:t>
      </w:r>
      <w:r>
        <w:rPr>
          <w:rFonts w:ascii="宋体" w:hAnsi="宋体" w:eastAsia="宋体"/>
          <w:color w:val="000000"/>
          <w:sz w:val="24"/>
        </w:rPr>
        <w:t>4</w:t>
      </w:r>
      <w:r>
        <w:rPr>
          <w:rFonts w:hint="eastAsia" w:ascii="宋体" w:hAnsi="宋体" w:eastAsia="宋体"/>
          <w:color w:val="000000"/>
          <w:sz w:val="24"/>
        </w:rPr>
        <w:t>人</w:t>
      </w:r>
    </w:p>
    <w:p>
      <w:pPr>
        <w:spacing w:line="360" w:lineRule="auto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职责：签订认购协议书</w:t>
      </w:r>
    </w:p>
    <w:p>
      <w:pPr>
        <w:spacing w:line="360" w:lineRule="auto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（4）销控组：1名</w:t>
      </w:r>
    </w:p>
    <w:p>
      <w:pPr>
        <w:spacing w:line="360" w:lineRule="auto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职责：现场销售控制，确保与实际销售情况同步。</w:t>
      </w:r>
    </w:p>
    <w:p>
      <w:pPr>
        <w:spacing w:line="360" w:lineRule="auto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（5）财务组：公司财务部</w:t>
      </w:r>
    </w:p>
    <w:p>
      <w:pPr>
        <w:spacing w:line="360" w:lineRule="auto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职责：核对认购金缴款金额，认购协议书内容，收款及开据收款收据，认购协议书盖章。</w:t>
      </w:r>
    </w:p>
    <w:p>
      <w:pPr>
        <w:spacing w:line="360" w:lineRule="auto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（6）保安组：保安若干名</w:t>
      </w:r>
    </w:p>
    <w:p>
      <w:pPr>
        <w:spacing w:line="360" w:lineRule="auto"/>
        <w:ind w:firstLine="570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职责：现场维护秩序。</w:t>
      </w:r>
    </w:p>
    <w:p>
      <w:pPr>
        <w:spacing w:line="360" w:lineRule="auto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（7）后勤组：公司行政部</w:t>
      </w:r>
    </w:p>
    <w:p>
      <w:pPr>
        <w:spacing w:line="360" w:lineRule="auto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职责：指引客户按程序购房，控制现场人数，现场资料准备、传递及后勤工作。</w:t>
      </w:r>
    </w:p>
    <w:p>
      <w:pPr>
        <w:spacing w:line="360" w:lineRule="auto"/>
        <w:ind w:firstLine="570"/>
        <w:rPr>
          <w:rFonts w:ascii="宋体" w:hAnsi="宋体" w:eastAsia="宋体"/>
          <w:color w:val="000000"/>
          <w:sz w:val="24"/>
        </w:rPr>
      </w:pPr>
    </w:p>
    <w:p>
      <w:pPr>
        <w:pStyle w:val="2"/>
        <w:rPr>
          <w:rFonts w:ascii="宋体" w:hAnsi="宋体"/>
        </w:rPr>
      </w:pPr>
    </w:p>
    <w:p>
      <w:pPr>
        <w:rPr>
          <w:rFonts w:hint="eastAsia" w:ascii="宋体" w:hAnsi="宋体" w:eastAsia="宋体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>
      <w:pPr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drawing>
          <wp:inline distT="0" distB="0" distL="114300" distR="114300">
            <wp:extent cx="5230495" cy="2941955"/>
            <wp:effectExtent l="0" t="0" r="8255" b="10795"/>
            <wp:docPr id="1" name="图片 1" descr="263104343d0d3d26957b6976b8a64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63104343d0d3d26957b6976b8a647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firstLine="2800" w:firstLineChars="1000"/>
        <w:jc w:val="both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酒店照片</w:t>
      </w:r>
    </w:p>
    <w:p>
      <w:pPr>
        <w:pStyle w:val="2"/>
        <w:ind w:left="0" w:leftChars="0" w:firstLine="0" w:firstLineChars="0"/>
        <w:jc w:val="both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default" w:ascii="宋体" w:hAnsi="宋体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2" name="图片 2" descr="a573b19b384e50f7e97095f4abef2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573b19b384e50f7e97095f4abef26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firstLine="2520" w:firstLineChars="900"/>
        <w:jc w:val="both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金宸美筑2#楼</w:t>
      </w:r>
    </w:p>
    <w:p>
      <w:pPr>
        <w:pStyle w:val="2"/>
        <w:ind w:firstLine="2520" w:firstLineChars="900"/>
        <w:jc w:val="both"/>
        <w:rPr>
          <w:rFonts w:hint="eastAsia" w:ascii="宋体" w:hAnsi="宋体"/>
          <w:sz w:val="28"/>
          <w:szCs w:val="28"/>
          <w:lang w:val="en-US" w:eastAsia="zh-CN"/>
        </w:rPr>
      </w:pPr>
    </w:p>
    <w:p>
      <w:pPr>
        <w:pStyle w:val="2"/>
        <w:ind w:firstLine="2520" w:firstLineChars="900"/>
        <w:jc w:val="both"/>
        <w:rPr>
          <w:rFonts w:hint="eastAsia" w:ascii="宋体" w:hAnsi="宋体"/>
          <w:sz w:val="28"/>
          <w:szCs w:val="28"/>
          <w:lang w:val="en-US" w:eastAsia="zh-CN"/>
        </w:rPr>
      </w:pPr>
    </w:p>
    <w:p>
      <w:pPr>
        <w:pStyle w:val="2"/>
        <w:ind w:left="0" w:leftChars="0" w:firstLine="0" w:firstLineChars="0"/>
        <w:jc w:val="both"/>
        <w:rPr>
          <w:rFonts w:hint="default" w:ascii="宋体" w:hAnsi="宋体"/>
          <w:sz w:val="28"/>
          <w:szCs w:val="28"/>
          <w:lang w:val="en-US" w:eastAsia="zh-CN"/>
        </w:rPr>
      </w:pPr>
      <w:r>
        <w:rPr>
          <w:rFonts w:hint="default" w:ascii="宋体" w:hAnsi="宋体"/>
          <w:sz w:val="28"/>
          <w:szCs w:val="28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3" name="图片 3" descr="c72ec7d3f0afd1b60850685aef253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72ec7d3f0afd1b60850685aef253b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jc w:val="center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金宸美筑5#楼</w:t>
      </w:r>
    </w:p>
    <w:p>
      <w:pPr>
        <w:pStyle w:val="2"/>
        <w:ind w:left="0" w:leftChars="0" w:firstLine="0" w:firstLineChars="0"/>
        <w:jc w:val="center"/>
        <w:rPr>
          <w:rFonts w:hint="default" w:ascii="宋体" w:hAnsi="宋体"/>
          <w:sz w:val="28"/>
          <w:szCs w:val="28"/>
          <w:lang w:val="en-US" w:eastAsia="zh-CN"/>
        </w:rPr>
      </w:pPr>
      <w:r>
        <w:rPr>
          <w:rFonts w:hint="default" w:ascii="宋体" w:hAnsi="宋体"/>
          <w:sz w:val="28"/>
          <w:szCs w:val="28"/>
          <w:lang w:val="en-US" w:eastAsia="zh-CN"/>
        </w:rPr>
        <w:drawing>
          <wp:inline distT="0" distB="0" distL="114300" distR="114300">
            <wp:extent cx="4836160" cy="3390900"/>
            <wp:effectExtent l="0" t="0" r="2540" b="0"/>
            <wp:docPr id="4" name="图片 4" descr="7d3669142acd32d4bff1b9fc95e38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d3669142acd32d4bff1b9fc95e388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3616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jc w:val="center"/>
        <w:rPr>
          <w:rFonts w:hint="default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金宸美筑13#楼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65DC8FB"/>
    <w:multiLevelType w:val="singleLevel"/>
    <w:tmpl w:val="965DC8FB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A2D5EAA"/>
    <w:multiLevelType w:val="singleLevel"/>
    <w:tmpl w:val="FA2D5EAA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0E685BB7"/>
    <w:multiLevelType w:val="multilevel"/>
    <w:tmpl w:val="0E685BB7"/>
    <w:lvl w:ilvl="0" w:tentative="0">
      <w:start w:val="1"/>
      <w:numFmt w:val="decimal"/>
      <w:lvlText w:val="%1、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3">
    <w:nsid w:val="43427942"/>
    <w:multiLevelType w:val="multilevel"/>
    <w:tmpl w:val="43427942"/>
    <w:lvl w:ilvl="0" w:tentative="0">
      <w:start w:val="1"/>
      <w:numFmt w:val="japaneseCounting"/>
      <w:lvlText w:val="（%1）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4">
    <w:nsid w:val="60EA4399"/>
    <w:multiLevelType w:val="multilevel"/>
    <w:tmpl w:val="60EA4399"/>
    <w:lvl w:ilvl="0" w:tentative="0">
      <w:start w:val="1"/>
      <w:numFmt w:val="japaneseCounting"/>
      <w:lvlText w:val="%1、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1" w:tentative="0">
      <w:start w:val="1"/>
      <w:numFmt w:val="decimal"/>
      <w:lvlText w:val="%2、"/>
      <w:lvlJc w:val="left"/>
      <w:pPr>
        <w:tabs>
          <w:tab w:val="left" w:pos="1140"/>
        </w:tabs>
        <w:ind w:left="1140" w:hanging="72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5">
    <w:nsid w:val="6DC72DCC"/>
    <w:multiLevelType w:val="multilevel"/>
    <w:tmpl w:val="6DC72DCC"/>
    <w:lvl w:ilvl="0" w:tentative="0">
      <w:start w:val="1"/>
      <w:numFmt w:val="japaneseCounting"/>
      <w:lvlText w:val="%1、"/>
      <w:lvlJc w:val="left"/>
      <w:pPr>
        <w:tabs>
          <w:tab w:val="left" w:pos="420"/>
        </w:tabs>
        <w:ind w:left="420" w:hanging="420"/>
      </w:pPr>
      <w:rPr>
        <w:rFonts w:hint="default"/>
      </w:rPr>
    </w:lvl>
    <w:lvl w:ilvl="1" w:tentative="0">
      <w:start w:val="1"/>
      <w:numFmt w:val="decimal"/>
      <w:lvlText w:val="（%2）"/>
      <w:lvlJc w:val="left"/>
      <w:pPr>
        <w:tabs>
          <w:tab w:val="left" w:pos="1140"/>
        </w:tabs>
        <w:ind w:left="1350" w:hanging="720"/>
      </w:pPr>
      <w:rPr>
        <w:rFonts w:hint="default"/>
        <w:lang w:val="en-US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bordersDoNotSurroundHeader w:val="0"/>
  <w:bordersDoNotSurroundFooter w:val="0"/>
  <w:doNotTrackMoves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FiYWEwNGIyOGE0NDNjNTQ0MDUxZGExYzMzYzg3ZDAifQ=="/>
    <w:docVar w:name="KSO_WPS_MARK_KEY" w:val="b1eafcc4-255e-430c-9ba0-87c7046e0ff4"/>
  </w:docVars>
  <w:rsids>
    <w:rsidRoot w:val="009D034E"/>
    <w:rsid w:val="00027A5D"/>
    <w:rsid w:val="0003017B"/>
    <w:rsid w:val="00036041"/>
    <w:rsid w:val="00044AEF"/>
    <w:rsid w:val="0004542E"/>
    <w:rsid w:val="000647A5"/>
    <w:rsid w:val="000960E1"/>
    <w:rsid w:val="000A5137"/>
    <w:rsid w:val="000D0C16"/>
    <w:rsid w:val="000F5F7C"/>
    <w:rsid w:val="000F7CAD"/>
    <w:rsid w:val="00102D08"/>
    <w:rsid w:val="00113C6F"/>
    <w:rsid w:val="00116E2B"/>
    <w:rsid w:val="001345DE"/>
    <w:rsid w:val="00163A8B"/>
    <w:rsid w:val="00185014"/>
    <w:rsid w:val="001C6231"/>
    <w:rsid w:val="001C6803"/>
    <w:rsid w:val="001C73EE"/>
    <w:rsid w:val="001E1EE7"/>
    <w:rsid w:val="001E50E5"/>
    <w:rsid w:val="001F1C14"/>
    <w:rsid w:val="00243F5A"/>
    <w:rsid w:val="00285815"/>
    <w:rsid w:val="00287686"/>
    <w:rsid w:val="00290502"/>
    <w:rsid w:val="00296513"/>
    <w:rsid w:val="002C7C13"/>
    <w:rsid w:val="002E2BFA"/>
    <w:rsid w:val="00301CFA"/>
    <w:rsid w:val="00302F2D"/>
    <w:rsid w:val="00321194"/>
    <w:rsid w:val="00334068"/>
    <w:rsid w:val="003453A7"/>
    <w:rsid w:val="00355A96"/>
    <w:rsid w:val="00355EE4"/>
    <w:rsid w:val="00380261"/>
    <w:rsid w:val="003A6CAB"/>
    <w:rsid w:val="003B7FD7"/>
    <w:rsid w:val="003D45B7"/>
    <w:rsid w:val="003D4B26"/>
    <w:rsid w:val="00444C1E"/>
    <w:rsid w:val="0045141F"/>
    <w:rsid w:val="004526D1"/>
    <w:rsid w:val="0045307D"/>
    <w:rsid w:val="004562AB"/>
    <w:rsid w:val="00472645"/>
    <w:rsid w:val="00473347"/>
    <w:rsid w:val="00473808"/>
    <w:rsid w:val="004764DD"/>
    <w:rsid w:val="0047770F"/>
    <w:rsid w:val="004948C5"/>
    <w:rsid w:val="004C3754"/>
    <w:rsid w:val="004D3506"/>
    <w:rsid w:val="004E7769"/>
    <w:rsid w:val="00511805"/>
    <w:rsid w:val="00540BDA"/>
    <w:rsid w:val="00546E59"/>
    <w:rsid w:val="00551AEB"/>
    <w:rsid w:val="00572EAD"/>
    <w:rsid w:val="005838A8"/>
    <w:rsid w:val="00585D9D"/>
    <w:rsid w:val="005B7188"/>
    <w:rsid w:val="005C501D"/>
    <w:rsid w:val="005D1BEF"/>
    <w:rsid w:val="005D3D9B"/>
    <w:rsid w:val="00625DC7"/>
    <w:rsid w:val="00626FC0"/>
    <w:rsid w:val="00663225"/>
    <w:rsid w:val="006673CE"/>
    <w:rsid w:val="006758D4"/>
    <w:rsid w:val="00683C9F"/>
    <w:rsid w:val="006E6509"/>
    <w:rsid w:val="007719D5"/>
    <w:rsid w:val="007A78F4"/>
    <w:rsid w:val="007B262D"/>
    <w:rsid w:val="007D1773"/>
    <w:rsid w:val="007F51D8"/>
    <w:rsid w:val="0081746B"/>
    <w:rsid w:val="00860B4E"/>
    <w:rsid w:val="00860F04"/>
    <w:rsid w:val="00862C46"/>
    <w:rsid w:val="0086400D"/>
    <w:rsid w:val="00872A99"/>
    <w:rsid w:val="0088058B"/>
    <w:rsid w:val="0088293E"/>
    <w:rsid w:val="00884979"/>
    <w:rsid w:val="008A31A4"/>
    <w:rsid w:val="008B599A"/>
    <w:rsid w:val="008C3BB1"/>
    <w:rsid w:val="008C7BE8"/>
    <w:rsid w:val="008D5DAA"/>
    <w:rsid w:val="008F2147"/>
    <w:rsid w:val="008F3C0D"/>
    <w:rsid w:val="008F7735"/>
    <w:rsid w:val="00910C3E"/>
    <w:rsid w:val="009252C2"/>
    <w:rsid w:val="0093162D"/>
    <w:rsid w:val="00933B66"/>
    <w:rsid w:val="00940BB7"/>
    <w:rsid w:val="00946073"/>
    <w:rsid w:val="009665BE"/>
    <w:rsid w:val="00975CE5"/>
    <w:rsid w:val="0098333E"/>
    <w:rsid w:val="009C0E22"/>
    <w:rsid w:val="009C4CF7"/>
    <w:rsid w:val="009D034E"/>
    <w:rsid w:val="009D1D01"/>
    <w:rsid w:val="009D2F7D"/>
    <w:rsid w:val="009E5BF2"/>
    <w:rsid w:val="00A0666A"/>
    <w:rsid w:val="00A4438D"/>
    <w:rsid w:val="00A75C97"/>
    <w:rsid w:val="00A94217"/>
    <w:rsid w:val="00AB2050"/>
    <w:rsid w:val="00AB612A"/>
    <w:rsid w:val="00AF51D3"/>
    <w:rsid w:val="00B121AF"/>
    <w:rsid w:val="00B136E7"/>
    <w:rsid w:val="00B26EC7"/>
    <w:rsid w:val="00B364CB"/>
    <w:rsid w:val="00B47256"/>
    <w:rsid w:val="00B70897"/>
    <w:rsid w:val="00B82B59"/>
    <w:rsid w:val="00B92026"/>
    <w:rsid w:val="00BA0449"/>
    <w:rsid w:val="00BC4CFD"/>
    <w:rsid w:val="00BD3954"/>
    <w:rsid w:val="00BF2275"/>
    <w:rsid w:val="00BF4D8C"/>
    <w:rsid w:val="00C06E19"/>
    <w:rsid w:val="00C30185"/>
    <w:rsid w:val="00C44A60"/>
    <w:rsid w:val="00C70861"/>
    <w:rsid w:val="00C71C4A"/>
    <w:rsid w:val="00C85FDC"/>
    <w:rsid w:val="00C922F3"/>
    <w:rsid w:val="00CD055B"/>
    <w:rsid w:val="00CD1B81"/>
    <w:rsid w:val="00CF42C2"/>
    <w:rsid w:val="00D230F0"/>
    <w:rsid w:val="00D23EF4"/>
    <w:rsid w:val="00D338C0"/>
    <w:rsid w:val="00D42EF0"/>
    <w:rsid w:val="00D6185A"/>
    <w:rsid w:val="00D73A34"/>
    <w:rsid w:val="00D826C0"/>
    <w:rsid w:val="00DA23CB"/>
    <w:rsid w:val="00DA4717"/>
    <w:rsid w:val="00DE1902"/>
    <w:rsid w:val="00DE6813"/>
    <w:rsid w:val="00DF68B5"/>
    <w:rsid w:val="00E2289E"/>
    <w:rsid w:val="00E34259"/>
    <w:rsid w:val="00E533D1"/>
    <w:rsid w:val="00E63C6D"/>
    <w:rsid w:val="00EB25D1"/>
    <w:rsid w:val="00EB76E3"/>
    <w:rsid w:val="00EF17FE"/>
    <w:rsid w:val="00EF21CC"/>
    <w:rsid w:val="00F01BF7"/>
    <w:rsid w:val="00F1360B"/>
    <w:rsid w:val="00F22211"/>
    <w:rsid w:val="00F34F95"/>
    <w:rsid w:val="00F5109E"/>
    <w:rsid w:val="00F573A6"/>
    <w:rsid w:val="00F94F6D"/>
    <w:rsid w:val="00F96EBB"/>
    <w:rsid w:val="00FA4463"/>
    <w:rsid w:val="00FC7836"/>
    <w:rsid w:val="00FD02FB"/>
    <w:rsid w:val="00FD6108"/>
    <w:rsid w:val="03603933"/>
    <w:rsid w:val="03607408"/>
    <w:rsid w:val="040777C8"/>
    <w:rsid w:val="069F581D"/>
    <w:rsid w:val="07094565"/>
    <w:rsid w:val="07465DF0"/>
    <w:rsid w:val="076260C2"/>
    <w:rsid w:val="07876F69"/>
    <w:rsid w:val="07DB1C5D"/>
    <w:rsid w:val="08092EDB"/>
    <w:rsid w:val="0AD007F3"/>
    <w:rsid w:val="0C93796E"/>
    <w:rsid w:val="0DE01A63"/>
    <w:rsid w:val="0E405AB3"/>
    <w:rsid w:val="0F286684"/>
    <w:rsid w:val="0F2E6C45"/>
    <w:rsid w:val="0FA0357D"/>
    <w:rsid w:val="10303AE2"/>
    <w:rsid w:val="115B002C"/>
    <w:rsid w:val="11B676EE"/>
    <w:rsid w:val="136B2E3F"/>
    <w:rsid w:val="1390608F"/>
    <w:rsid w:val="13D854D8"/>
    <w:rsid w:val="140A2BCD"/>
    <w:rsid w:val="141A0205"/>
    <w:rsid w:val="14914482"/>
    <w:rsid w:val="156B2396"/>
    <w:rsid w:val="15E86148"/>
    <w:rsid w:val="16E921FA"/>
    <w:rsid w:val="172E1A22"/>
    <w:rsid w:val="187E554B"/>
    <w:rsid w:val="194F6D87"/>
    <w:rsid w:val="19A81C9E"/>
    <w:rsid w:val="1A1D08B7"/>
    <w:rsid w:val="1AE65161"/>
    <w:rsid w:val="1DB87D17"/>
    <w:rsid w:val="1F3C4DA0"/>
    <w:rsid w:val="20A26336"/>
    <w:rsid w:val="211D2D14"/>
    <w:rsid w:val="21B52AD4"/>
    <w:rsid w:val="229E5392"/>
    <w:rsid w:val="231C7DC0"/>
    <w:rsid w:val="232E3EB1"/>
    <w:rsid w:val="23865A9B"/>
    <w:rsid w:val="23A26F49"/>
    <w:rsid w:val="23B14C77"/>
    <w:rsid w:val="2600249F"/>
    <w:rsid w:val="27B1345D"/>
    <w:rsid w:val="280822F8"/>
    <w:rsid w:val="28B766F6"/>
    <w:rsid w:val="28CE5855"/>
    <w:rsid w:val="292A0978"/>
    <w:rsid w:val="29603DCC"/>
    <w:rsid w:val="299023C6"/>
    <w:rsid w:val="2B073965"/>
    <w:rsid w:val="2C6E1B15"/>
    <w:rsid w:val="2ED5271C"/>
    <w:rsid w:val="2F643F15"/>
    <w:rsid w:val="32683018"/>
    <w:rsid w:val="32C97946"/>
    <w:rsid w:val="337F6063"/>
    <w:rsid w:val="33926A76"/>
    <w:rsid w:val="33AB522A"/>
    <w:rsid w:val="33C23FF6"/>
    <w:rsid w:val="33F925A2"/>
    <w:rsid w:val="35835904"/>
    <w:rsid w:val="358A7524"/>
    <w:rsid w:val="35E929E3"/>
    <w:rsid w:val="36B20912"/>
    <w:rsid w:val="374C1781"/>
    <w:rsid w:val="380253CA"/>
    <w:rsid w:val="396D4803"/>
    <w:rsid w:val="39E3559D"/>
    <w:rsid w:val="3B704969"/>
    <w:rsid w:val="3D114805"/>
    <w:rsid w:val="3DB01E94"/>
    <w:rsid w:val="3E5E2681"/>
    <w:rsid w:val="41C96AD0"/>
    <w:rsid w:val="42FB3958"/>
    <w:rsid w:val="439022BA"/>
    <w:rsid w:val="444F6318"/>
    <w:rsid w:val="471D45AA"/>
    <w:rsid w:val="49957967"/>
    <w:rsid w:val="4A995A68"/>
    <w:rsid w:val="4BD60F52"/>
    <w:rsid w:val="4D2404BD"/>
    <w:rsid w:val="4DEB730B"/>
    <w:rsid w:val="4F3B38D4"/>
    <w:rsid w:val="519F4CC6"/>
    <w:rsid w:val="51C410F7"/>
    <w:rsid w:val="53887596"/>
    <w:rsid w:val="53966943"/>
    <w:rsid w:val="53FA5565"/>
    <w:rsid w:val="540957A8"/>
    <w:rsid w:val="54582CEA"/>
    <w:rsid w:val="549C7626"/>
    <w:rsid w:val="55CE6B87"/>
    <w:rsid w:val="55D66099"/>
    <w:rsid w:val="561E7EB8"/>
    <w:rsid w:val="56507912"/>
    <w:rsid w:val="56B34D3A"/>
    <w:rsid w:val="574F3AB6"/>
    <w:rsid w:val="57DE652C"/>
    <w:rsid w:val="580305DA"/>
    <w:rsid w:val="584C2108"/>
    <w:rsid w:val="59DC5C1F"/>
    <w:rsid w:val="5A5D19FC"/>
    <w:rsid w:val="5B1D0572"/>
    <w:rsid w:val="5B7D475E"/>
    <w:rsid w:val="5BF619E3"/>
    <w:rsid w:val="5C0D18EB"/>
    <w:rsid w:val="5C580871"/>
    <w:rsid w:val="5D301F2F"/>
    <w:rsid w:val="5F80135B"/>
    <w:rsid w:val="609B62CE"/>
    <w:rsid w:val="6264576E"/>
    <w:rsid w:val="62BB05B6"/>
    <w:rsid w:val="637D3412"/>
    <w:rsid w:val="66E83943"/>
    <w:rsid w:val="6B1C52F5"/>
    <w:rsid w:val="6BEF644B"/>
    <w:rsid w:val="6E080427"/>
    <w:rsid w:val="6E9D7073"/>
    <w:rsid w:val="6FCE3D0B"/>
    <w:rsid w:val="6FD81337"/>
    <w:rsid w:val="70070892"/>
    <w:rsid w:val="708821D1"/>
    <w:rsid w:val="708A15C7"/>
    <w:rsid w:val="70F531A8"/>
    <w:rsid w:val="720A7322"/>
    <w:rsid w:val="72AA51A2"/>
    <w:rsid w:val="73905147"/>
    <w:rsid w:val="73BC2007"/>
    <w:rsid w:val="75D872E9"/>
    <w:rsid w:val="764E3BDA"/>
    <w:rsid w:val="790E0FE8"/>
    <w:rsid w:val="79C357B7"/>
    <w:rsid w:val="7A460C55"/>
    <w:rsid w:val="7ABB0BA2"/>
    <w:rsid w:val="7B15146F"/>
    <w:rsid w:val="7C065F55"/>
    <w:rsid w:val="7D7052B5"/>
    <w:rsid w:val="7DFC3B04"/>
    <w:rsid w:val="7E3A6640"/>
    <w:rsid w:val="7E3B4E83"/>
    <w:rsid w:val="7E4569A4"/>
    <w:rsid w:val="7E955EC9"/>
    <w:rsid w:val="7F603EED"/>
    <w:rsid w:val="7FB21134"/>
    <w:rsid w:val="FDFD4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qFormat="1" w:unhideWhenUsed="0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99"/>
    <w:pPr>
      <w:spacing w:after="120" w:line="240" w:lineRule="auto"/>
      <w:ind w:left="420" w:leftChars="200" w:firstLine="420"/>
    </w:pPr>
    <w:rPr>
      <w:rFonts w:ascii="Times New Roman" w:eastAsia="宋体"/>
      <w:sz w:val="21"/>
      <w:szCs w:val="24"/>
    </w:rPr>
  </w:style>
  <w:style w:type="paragraph" w:styleId="3">
    <w:name w:val="Body Text Indent"/>
    <w:basedOn w:val="1"/>
    <w:next w:val="1"/>
    <w:qFormat/>
    <w:uiPriority w:val="0"/>
    <w:pPr>
      <w:spacing w:line="600" w:lineRule="exact"/>
      <w:ind w:firstLine="560" w:firstLineChars="200"/>
    </w:pPr>
    <w:rPr>
      <w:rFonts w:ascii="仿宋_GB2312" w:eastAsia="仿宋_GB2312"/>
      <w:sz w:val="28"/>
      <w:szCs w:val="20"/>
    </w:rPr>
  </w:style>
  <w:style w:type="paragraph" w:styleId="4">
    <w:name w:val="annotation text"/>
    <w:basedOn w:val="1"/>
    <w:link w:val="18"/>
    <w:unhideWhenUsed/>
    <w:qFormat/>
    <w:uiPriority w:val="99"/>
    <w:pPr>
      <w:jc w:val="left"/>
    </w:pPr>
  </w:style>
  <w:style w:type="paragraph" w:styleId="5">
    <w:name w:val="Date"/>
    <w:basedOn w:val="1"/>
    <w:next w:val="1"/>
    <w:link w:val="16"/>
    <w:unhideWhenUsed/>
    <w:qFormat/>
    <w:uiPriority w:val="99"/>
    <w:pPr>
      <w:ind w:left="100" w:leftChars="2500"/>
    </w:pPr>
  </w:style>
  <w:style w:type="paragraph" w:styleId="6">
    <w:name w:val="Balloon Text"/>
    <w:basedOn w:val="1"/>
    <w:link w:val="17"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annotation subject"/>
    <w:basedOn w:val="4"/>
    <w:next w:val="4"/>
    <w:link w:val="15"/>
    <w:unhideWhenUsed/>
    <w:qFormat/>
    <w:uiPriority w:val="99"/>
    <w:rPr>
      <w:b/>
      <w:bCs/>
    </w:rPr>
  </w:style>
  <w:style w:type="table" w:styleId="11">
    <w:name w:val="Table Grid"/>
    <w:basedOn w:val="10"/>
    <w:qFormat/>
    <w:uiPriority w:val="39"/>
    <w:tblPr>
      <w:tblBorders>
        <w:top w:val="single" w:color="CBCDD1" w:sz="6" w:space="0"/>
        <w:left w:val="single" w:color="CBCDD1" w:sz="6" w:space="0"/>
        <w:bottom w:val="single" w:color="CBCDD1" w:sz="6" w:space="0"/>
        <w:right w:val="single" w:color="CBCDD1" w:sz="6" w:space="0"/>
        <w:insideH w:val="single" w:color="CBCDD1" w:sz="6" w:space="0"/>
        <w:insideV w:val="single" w:color="CBCDD1" w:sz="6" w:space="0"/>
      </w:tblBorders>
    </w:tblPr>
    <w:tcPr>
      <w:vAlign w:val="center"/>
    </w:tcPr>
  </w:style>
  <w:style w:type="character" w:styleId="13">
    <w:name w:val="Strong"/>
    <w:qFormat/>
    <w:uiPriority w:val="0"/>
    <w:rPr>
      <w:rFonts w:ascii="Times New Roman" w:hAnsi="Times New Roman" w:cs="Times New Roman"/>
      <w:b/>
      <w:bCs/>
    </w:rPr>
  </w:style>
  <w:style w:type="character" w:styleId="14">
    <w:name w:val="annotation reference"/>
    <w:unhideWhenUsed/>
    <w:qFormat/>
    <w:uiPriority w:val="99"/>
    <w:rPr>
      <w:sz w:val="21"/>
      <w:szCs w:val="21"/>
    </w:rPr>
  </w:style>
  <w:style w:type="character" w:customStyle="1" w:styleId="15">
    <w:name w:val="批注主题 字符"/>
    <w:link w:val="9"/>
    <w:semiHidden/>
    <w:qFormat/>
    <w:uiPriority w:val="99"/>
    <w:rPr>
      <w:rFonts w:ascii="Times New Roman" w:hAnsi="Times New Roman" w:eastAsia="宋体" w:cs="Times New Roman"/>
      <w:b/>
      <w:bCs/>
      <w:szCs w:val="24"/>
    </w:rPr>
  </w:style>
  <w:style w:type="character" w:customStyle="1" w:styleId="16">
    <w:name w:val="日期 字符"/>
    <w:link w:val="5"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17">
    <w:name w:val="批注框文本 字符"/>
    <w:link w:val="6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8">
    <w:name w:val="批注文字 字符"/>
    <w:link w:val="4"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19">
    <w:name w:val="页眉 字符"/>
    <w:link w:val="8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0">
    <w:name w:val="页脚 字符"/>
    <w:link w:val="7"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20</Pages>
  <Words>8768</Words>
  <Characters>14889</Characters>
  <Lines>107</Lines>
  <Paragraphs>30</Paragraphs>
  <TotalTime>12</TotalTime>
  <ScaleCrop>false</ScaleCrop>
  <LinksUpToDate>false</LinksUpToDate>
  <CharactersWithSpaces>14916</CharactersWithSpaces>
  <Application>WPS Office_11.8.2.9015_F1E327BC-269C-435d-A152-05C5408002CA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2023-06-13T17:47:00Z</dcterms:created>
  <dc:creator>yyq</dc:creator>
  <cp:lastModifiedBy>Administrator</cp:lastModifiedBy>
  <dcterms:modified xsi:type="dcterms:W3CDTF">2023-07-17T08:10:15Z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2052-11.8.2.9015</vt:lpwstr>
  </property>
  <property fmtid="{D5CDD505-2E9C-101B-9397-08002B2CF9AE}" pid="3" name="ICV">
    <vt:lpwstr>C0690482C7D346DCA25D20F294EF45E4_13</vt:lpwstr>
  </property>
</Properties>
</file>